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EF8B0" w14:textId="502FF974" w:rsidR="00C47F60" w:rsidRPr="00F36F25" w:rsidRDefault="00D95A89" w:rsidP="00F36F25">
      <w:pPr>
        <w:tabs>
          <w:tab w:val="left" w:pos="7200"/>
        </w:tabs>
        <w:jc w:val="right"/>
        <w:rPr>
          <w:rFonts w:cs="Calibri"/>
          <w:b/>
          <w:szCs w:val="20"/>
        </w:rPr>
      </w:pPr>
      <w:r w:rsidRPr="00A50D2F">
        <w:rPr>
          <w:rFonts w:cs="Calibri"/>
          <w:szCs w:val="20"/>
        </w:rPr>
        <w:t>TISKOVÁ ZPRÁVA</w:t>
      </w:r>
    </w:p>
    <w:p w14:paraId="4846D956" w14:textId="59349BEF" w:rsidR="00E9213A" w:rsidRPr="00626383" w:rsidRDefault="00E9213A" w:rsidP="005D0D24">
      <w:pPr>
        <w:jc w:val="center"/>
        <w:rPr>
          <w:rFonts w:asciiTheme="minorHAnsi" w:eastAsia="Aptos" w:hAnsiTheme="minorHAnsi" w:cstheme="minorHAnsi"/>
          <w:b/>
          <w:bCs/>
          <w:noProof/>
          <w:sz w:val="24"/>
          <w:lang w:eastAsia="en-US" w:bidi="ar-SA"/>
        </w:rPr>
      </w:pPr>
      <w:r w:rsidRPr="00626383">
        <w:rPr>
          <w:rFonts w:eastAsia="Times New Roman" w:cs="Calibri"/>
          <w:b/>
          <w:spacing w:val="3"/>
          <w:sz w:val="24"/>
          <w:shd w:val="clear" w:color="auto" w:fill="FFFFFF"/>
          <w:lang w:bidi="cs-CZ"/>
        </w:rPr>
        <w:t>Philip Morris ČR a.s. uvádí na trh BONDS 2 by IQOS, nové zařízení na nahřívání tabáku</w:t>
      </w:r>
    </w:p>
    <w:p w14:paraId="464521B9" w14:textId="4A342C13" w:rsidR="00F376A1" w:rsidRPr="009F16F4" w:rsidRDefault="00E9213A" w:rsidP="009F16F4">
      <w:pPr>
        <w:jc w:val="center"/>
        <w:rPr>
          <w:rFonts w:eastAsia="Times New Roman" w:cs="Calibri"/>
          <w:i/>
          <w:spacing w:val="3"/>
          <w:szCs w:val="20"/>
          <w:shd w:val="clear" w:color="auto" w:fill="FFFFFF"/>
          <w:lang w:bidi="cs-CZ"/>
        </w:rPr>
      </w:pPr>
      <w:r w:rsidRPr="00626383">
        <w:rPr>
          <w:rFonts w:eastAsia="Times New Roman" w:cs="Calibri"/>
          <w:i/>
          <w:spacing w:val="3"/>
          <w:szCs w:val="20"/>
          <w:shd w:val="clear" w:color="auto" w:fill="FFFFFF"/>
          <w:lang w:bidi="cs-CZ"/>
        </w:rPr>
        <w:t>Kompaktní zařízení s technologií ROUNDHEAT™ přináší jednoduché řešení bez kouře a popela.</w:t>
      </w:r>
    </w:p>
    <w:p w14:paraId="2AE7B778" w14:textId="7310FF8E" w:rsidR="008D3ED0" w:rsidRPr="001D606E" w:rsidRDefault="00E9213A" w:rsidP="00F36F25">
      <w:pPr>
        <w:spacing w:before="240" w:after="80"/>
        <w:rPr>
          <w:shd w:val="clear" w:color="auto" w:fill="FFFFFF"/>
          <w:lang w:bidi="cs-CZ"/>
        </w:rPr>
      </w:pPr>
      <w:r w:rsidRPr="00F36F25">
        <w:rPr>
          <w:bCs/>
          <w:shd w:val="clear" w:color="auto" w:fill="FFFFFF"/>
          <w:lang w:bidi="cs-CZ"/>
        </w:rPr>
        <w:t>Praha</w:t>
      </w:r>
      <w:r w:rsidR="00E15314" w:rsidRPr="00F36F25">
        <w:rPr>
          <w:bCs/>
          <w:shd w:val="clear" w:color="auto" w:fill="FFFFFF"/>
          <w:lang w:bidi="cs-CZ"/>
        </w:rPr>
        <w:t xml:space="preserve">, </w:t>
      </w:r>
      <w:r w:rsidRPr="00F36F25">
        <w:rPr>
          <w:bCs/>
          <w:shd w:val="clear" w:color="auto" w:fill="FFFFFF"/>
          <w:lang w:bidi="cs-CZ"/>
        </w:rPr>
        <w:t>27.</w:t>
      </w:r>
      <w:r w:rsidR="00E15314" w:rsidRPr="00F36F25">
        <w:rPr>
          <w:bCs/>
          <w:shd w:val="clear" w:color="auto" w:fill="FFFFFF"/>
          <w:lang w:bidi="cs-CZ"/>
        </w:rPr>
        <w:t xml:space="preserve"> května</w:t>
      </w:r>
      <w:r w:rsidRPr="00F36F25">
        <w:rPr>
          <w:bCs/>
          <w:shd w:val="clear" w:color="auto" w:fill="FFFFFF"/>
          <w:lang w:bidi="cs-CZ"/>
        </w:rPr>
        <w:t xml:space="preserve"> 2026</w:t>
      </w:r>
      <w:r w:rsidR="00B672FC">
        <w:rPr>
          <w:bCs/>
          <w:shd w:val="clear" w:color="auto" w:fill="FFFFFF"/>
          <w:lang w:bidi="cs-CZ"/>
        </w:rPr>
        <w:t xml:space="preserve"> -</w:t>
      </w:r>
      <w:r w:rsidR="00F37531">
        <w:rPr>
          <w:b/>
          <w:shd w:val="clear" w:color="auto" w:fill="FFFFFF"/>
          <w:lang w:bidi="cs-CZ"/>
        </w:rPr>
        <w:t xml:space="preserve"> </w:t>
      </w:r>
      <w:r w:rsidRPr="00F36F25">
        <w:rPr>
          <w:b/>
          <w:bCs/>
          <w:shd w:val="clear" w:color="auto" w:fill="FFFFFF"/>
          <w:lang w:bidi="cs-CZ"/>
        </w:rPr>
        <w:t>Společnost Philip Morris ČR a.s.</w:t>
      </w:r>
      <w:r w:rsidR="00EC7F2C" w:rsidRPr="00F36F25">
        <w:rPr>
          <w:b/>
          <w:bCs/>
          <w:shd w:val="clear" w:color="auto" w:fill="FFFFFF"/>
          <w:lang w:bidi="cs-CZ"/>
        </w:rPr>
        <w:t xml:space="preserve"> </w:t>
      </w:r>
      <w:r w:rsidRPr="00F36F25">
        <w:rPr>
          <w:b/>
          <w:bCs/>
          <w:shd w:val="clear" w:color="auto" w:fill="FFFFFF"/>
          <w:lang w:bidi="cs-CZ"/>
        </w:rPr>
        <w:t xml:space="preserve">uvádí na český trh nové zařízení na nahřívaný tabák </w:t>
      </w:r>
      <w:r w:rsidRPr="00F36F25">
        <w:rPr>
          <w:b/>
          <w:bCs/>
          <w:i/>
          <w:iCs/>
          <w:shd w:val="clear" w:color="auto" w:fill="FFFFFF"/>
          <w:lang w:bidi="cs-CZ"/>
        </w:rPr>
        <w:t>BONDS 2 by IQOS</w:t>
      </w:r>
      <w:r w:rsidRPr="00F36F25">
        <w:rPr>
          <w:b/>
          <w:bCs/>
          <w:shd w:val="clear" w:color="auto" w:fill="FFFFFF"/>
          <w:lang w:bidi="cs-CZ"/>
        </w:rPr>
        <w:t>. Jde o nejnovější přírůstek do jejího portfolia bezdýmných výrobků určených pro dospělé kuřáky, kteří by jinak pokračovali v</w:t>
      </w:r>
      <w:r w:rsidR="00B00433" w:rsidRPr="00F36F25">
        <w:rPr>
          <w:b/>
          <w:bCs/>
          <w:shd w:val="clear" w:color="auto" w:fill="FFFFFF"/>
          <w:lang w:bidi="cs-CZ"/>
        </w:rPr>
        <w:t> </w:t>
      </w:r>
      <w:r w:rsidRPr="00F36F25">
        <w:rPr>
          <w:b/>
          <w:bCs/>
          <w:shd w:val="clear" w:color="auto" w:fill="FFFFFF"/>
          <w:lang w:bidi="cs-CZ"/>
        </w:rPr>
        <w:t xml:space="preserve">kouření cigaret. Spolu se zařízením se na trh uvádějí také nové náplně </w:t>
      </w:r>
      <w:r w:rsidRPr="00F36F25">
        <w:rPr>
          <w:b/>
          <w:bCs/>
          <w:i/>
          <w:iCs/>
          <w:shd w:val="clear" w:color="auto" w:fill="FFFFFF"/>
          <w:lang w:bidi="cs-CZ"/>
        </w:rPr>
        <w:t>BLENDS</w:t>
      </w:r>
      <w:r w:rsidRPr="00F36F25">
        <w:rPr>
          <w:b/>
          <w:bCs/>
          <w:shd w:val="clear" w:color="auto" w:fill="FFFFFF"/>
          <w:lang w:bidi="cs-CZ"/>
        </w:rPr>
        <w:t xml:space="preserve">, které přinášejí autentickou chuť skutečného řezaného tabáku. </w:t>
      </w:r>
    </w:p>
    <w:p w14:paraId="52FB8F60" w14:textId="3D068527" w:rsidR="008D3ED0" w:rsidRPr="001D606E" w:rsidRDefault="00E9213A" w:rsidP="00F36F25">
      <w:pPr>
        <w:spacing w:after="80"/>
        <w:rPr>
          <w:shd w:val="clear" w:color="auto" w:fill="FFFFFF"/>
          <w:lang w:bidi="cs-CZ"/>
        </w:rPr>
      </w:pPr>
      <w:r w:rsidRPr="0088646E">
        <w:rPr>
          <w:i/>
          <w:iCs/>
          <w:shd w:val="clear" w:color="auto" w:fill="FFFFFF"/>
          <w:lang w:bidi="cs-CZ"/>
        </w:rPr>
        <w:t>„Naším dlouhodobým cílem je nabízet dospělým kuřákům v České republice lepší alternativy</w:t>
      </w:r>
      <w:r w:rsidR="00B00433">
        <w:rPr>
          <w:i/>
          <w:iCs/>
          <w:shd w:val="clear" w:color="auto" w:fill="FFFFFF"/>
          <w:lang w:bidi="cs-CZ"/>
        </w:rPr>
        <w:t>,</w:t>
      </w:r>
      <w:r w:rsidRPr="0088646E">
        <w:rPr>
          <w:i/>
          <w:iCs/>
          <w:shd w:val="clear" w:color="auto" w:fill="FFFFFF"/>
          <w:lang w:bidi="cs-CZ"/>
        </w:rPr>
        <w:t xml:space="preserve"> než jsou cigarety, které odpovídají jejich potřebám a životnímu stylu. BONDS</w:t>
      </w:r>
      <w:r w:rsidR="00003985">
        <w:rPr>
          <w:i/>
          <w:iCs/>
          <w:shd w:val="clear" w:color="auto" w:fill="FFFFFF"/>
          <w:lang w:bidi="cs-CZ"/>
        </w:rPr>
        <w:t xml:space="preserve"> </w:t>
      </w:r>
      <w:r w:rsidRPr="0088646E">
        <w:rPr>
          <w:i/>
          <w:iCs/>
          <w:shd w:val="clear" w:color="auto" w:fill="FFFFFF"/>
          <w:lang w:bidi="cs-CZ"/>
        </w:rPr>
        <w:t>rozšiřuje naše portfolio o řešení, které je dostupné a jednoduché</w:t>
      </w:r>
      <w:r w:rsidR="00003985">
        <w:rPr>
          <w:i/>
          <w:iCs/>
          <w:shd w:val="clear" w:color="auto" w:fill="FFFFFF"/>
          <w:lang w:bidi="cs-CZ"/>
        </w:rPr>
        <w:t xml:space="preserve"> </w:t>
      </w:r>
      <w:r w:rsidRPr="0088646E">
        <w:rPr>
          <w:i/>
          <w:iCs/>
          <w:shd w:val="clear" w:color="auto" w:fill="FFFFFF"/>
          <w:lang w:bidi="cs-CZ"/>
        </w:rPr>
        <w:t xml:space="preserve">pro každodenní používání,“ </w:t>
      </w:r>
      <w:r w:rsidRPr="00AB49C9">
        <w:rPr>
          <w:shd w:val="clear" w:color="auto" w:fill="FFFFFF"/>
          <w:lang w:bidi="cs-CZ"/>
        </w:rPr>
        <w:t>říká Fabio Costa, generální ředitel Philip Morris ČR a.s.</w:t>
      </w:r>
    </w:p>
    <w:p w14:paraId="09D25728" w14:textId="442A00E7" w:rsidR="00E9213A" w:rsidRPr="00B73195" w:rsidRDefault="00E9213A" w:rsidP="00F36F25">
      <w:pPr>
        <w:spacing w:after="80"/>
        <w:rPr>
          <w:lang w:bidi="cs-CZ"/>
        </w:rPr>
      </w:pPr>
      <w:r w:rsidRPr="00003985">
        <w:rPr>
          <w:i/>
          <w:iCs/>
          <w:lang w:bidi="cs-CZ"/>
        </w:rPr>
        <w:t>BONDS 2 by IQOS</w:t>
      </w:r>
      <w:r w:rsidRPr="00B73195">
        <w:rPr>
          <w:lang w:bidi="cs-CZ"/>
        </w:rPr>
        <w:t xml:space="preserve"> je kompaktní zařízení typu „vše v jednom“, které využívá technologii ROUNDHEAT™</w:t>
      </w:r>
      <w:r w:rsidR="00003985">
        <w:rPr>
          <w:lang w:bidi="cs-CZ"/>
        </w:rPr>
        <w:t xml:space="preserve">, </w:t>
      </w:r>
      <w:r w:rsidRPr="00B73195">
        <w:rPr>
          <w:lang w:bidi="cs-CZ"/>
        </w:rPr>
        <w:t xml:space="preserve">tedy rovnoměrné nahřívání tabáku z vnější strany. Zařízení tabák nespaluje, a proto při jeho používání nevzniká kouř ani popel, ale aerosol. Díky tomu produkuje </w:t>
      </w:r>
      <w:r w:rsidR="009D2E8E">
        <w:rPr>
          <w:lang w:bidi="cs-CZ"/>
        </w:rPr>
        <w:t>výrazně méně</w:t>
      </w:r>
      <w:r w:rsidR="00FE3E3C">
        <w:rPr>
          <w:lang w:bidi="cs-CZ"/>
        </w:rPr>
        <w:t xml:space="preserve"> </w:t>
      </w:r>
      <w:r w:rsidRPr="00B73195">
        <w:rPr>
          <w:lang w:bidi="cs-CZ"/>
        </w:rPr>
        <w:t>škodlivých látek ve srovnání s cigaretovým kouřem</w:t>
      </w:r>
      <w:r w:rsidRPr="00AB49C9">
        <w:rPr>
          <w:i/>
          <w:iCs/>
          <w:lang w:bidi="cs-CZ"/>
        </w:rPr>
        <w:t>.</w:t>
      </w:r>
      <w:r w:rsidR="004E0CEF" w:rsidRPr="00A50D2F">
        <w:rPr>
          <w:rStyle w:val="FootnoteReference"/>
          <w:rFonts w:eastAsia="Calibri" w:cs="Calibri"/>
          <w:szCs w:val="20"/>
          <w:lang w:bidi="cs-CZ"/>
        </w:rPr>
        <w:footnoteReference w:id="2"/>
      </w:r>
      <w:r w:rsidR="001A0BD7" w:rsidRPr="00A50D2F">
        <w:rPr>
          <w:vertAlign w:val="superscript"/>
          <w:lang w:bidi="cs-CZ"/>
        </w:rPr>
        <w:t>,</w:t>
      </w:r>
      <w:r w:rsidR="001A0BD7" w:rsidRPr="00A50D2F">
        <w:rPr>
          <w:vertAlign w:val="superscript"/>
          <w:lang w:bidi="cs-CZ"/>
        </w:rPr>
        <w:footnoteReference w:id="3"/>
      </w:r>
      <w:r w:rsidR="001A0BD7" w:rsidRPr="00AB49C9">
        <w:rPr>
          <w:i/>
          <w:iCs/>
          <w:lang w:bidi="cs-CZ"/>
        </w:rPr>
        <w:t xml:space="preserve"> </w:t>
      </w:r>
      <w:r w:rsidRPr="00AB49C9">
        <w:rPr>
          <w:i/>
          <w:iCs/>
          <w:lang w:bidi="cs-CZ"/>
        </w:rPr>
        <w:t>„Věříme, že cesta k</w:t>
      </w:r>
      <w:r w:rsidR="00B00433">
        <w:rPr>
          <w:i/>
          <w:iCs/>
          <w:lang w:bidi="cs-CZ"/>
        </w:rPr>
        <w:t> </w:t>
      </w:r>
      <w:r w:rsidRPr="00AB49C9">
        <w:rPr>
          <w:i/>
          <w:iCs/>
          <w:lang w:bidi="cs-CZ"/>
        </w:rPr>
        <w:t>bezdýmné budoucnosti není jen o technologii, ale také o tom, aby lidé měli přístup k produktům, které pro ně dávají smysl. Právě kombinace cenové dostupnosti a uživatelského komfortu může přispět k tomu, že se více dospělých kuřáků rozhodne odložit cigarety</w:t>
      </w:r>
      <w:r w:rsidR="002D0E85">
        <w:rPr>
          <w:i/>
          <w:iCs/>
          <w:lang w:bidi="cs-CZ"/>
        </w:rPr>
        <w:t>,</w:t>
      </w:r>
      <w:r w:rsidRPr="00AB49C9">
        <w:rPr>
          <w:i/>
          <w:iCs/>
          <w:lang w:bidi="cs-CZ"/>
        </w:rPr>
        <w:t>“</w:t>
      </w:r>
      <w:r w:rsidRPr="00B73195">
        <w:rPr>
          <w:lang w:bidi="cs-CZ"/>
        </w:rPr>
        <w:t xml:space="preserve"> dodává Fabio Costa.</w:t>
      </w:r>
    </w:p>
    <w:p w14:paraId="65665699" w14:textId="3E96C2F4" w:rsidR="00E9213A" w:rsidRPr="00247277" w:rsidRDefault="00E9213A" w:rsidP="00F36F25">
      <w:pPr>
        <w:spacing w:after="80"/>
        <w:rPr>
          <w:iCs/>
          <w:lang w:bidi="cs-CZ"/>
        </w:rPr>
      </w:pPr>
      <w:r w:rsidRPr="00003985">
        <w:rPr>
          <w:i/>
          <w:lang w:bidi="cs-CZ"/>
        </w:rPr>
        <w:t>BONDS 2 by IQOS</w:t>
      </w:r>
      <w:r w:rsidRPr="00247277">
        <w:rPr>
          <w:iCs/>
          <w:lang w:bidi="cs-CZ"/>
        </w:rPr>
        <w:t xml:space="preserve"> reaguje na potřebu nabídnout jednoduché, spolehlivé a cenově dostupné řešení pro každodenní život. Na jedno nabití umožňuje až 28 použití a až tři užití za sebou, přičemž poskytuje až pět minut užívání bez omezení počtu potáhnutí.</w:t>
      </w:r>
      <w:r w:rsidR="002D48D5">
        <w:rPr>
          <w:iCs/>
          <w:lang w:bidi="cs-CZ"/>
        </w:rPr>
        <w:t xml:space="preserve"> </w:t>
      </w:r>
    </w:p>
    <w:p w14:paraId="221506D9" w14:textId="48893B17" w:rsidR="00E9213A" w:rsidRPr="00247277" w:rsidRDefault="00E9213A" w:rsidP="00F36F25">
      <w:pPr>
        <w:spacing w:after="80"/>
        <w:rPr>
          <w:iCs/>
          <w:lang w:bidi="cs-CZ"/>
        </w:rPr>
      </w:pPr>
      <w:r w:rsidRPr="00247277">
        <w:rPr>
          <w:iCs/>
          <w:lang w:bidi="cs-CZ"/>
        </w:rPr>
        <w:t xml:space="preserve">Zařízení je určeno výhradně pro tabákové náplně </w:t>
      </w:r>
      <w:r w:rsidRPr="00E15314">
        <w:rPr>
          <w:i/>
          <w:lang w:bidi="cs-CZ"/>
        </w:rPr>
        <w:t>BLENDS</w:t>
      </w:r>
      <w:r w:rsidRPr="00247277">
        <w:rPr>
          <w:iCs/>
          <w:lang w:bidi="cs-CZ"/>
        </w:rPr>
        <w:t>, které byly vyvinuty tak, aby poskytovaly charakteristickou chuť pravého řezaného tabáku. K dispozici jsou varianty Red Classics, Amber Classics, Gold Classics, Silver Classics a také varianta tabákové p</w:t>
      </w:r>
      <w:r w:rsidR="00C23870">
        <w:rPr>
          <w:iCs/>
          <w:lang w:bidi="cs-CZ"/>
        </w:rPr>
        <w:t>ř</w:t>
      </w:r>
      <w:r w:rsidRPr="00247277">
        <w:rPr>
          <w:iCs/>
          <w:lang w:bidi="cs-CZ"/>
        </w:rPr>
        <w:t>íchutě s chladivými tóny Green Classics.</w:t>
      </w:r>
    </w:p>
    <w:p w14:paraId="1BB46F74" w14:textId="6E28D1B9" w:rsidR="00E9213A" w:rsidRPr="00247277" w:rsidRDefault="00E9213A" w:rsidP="00F36F25">
      <w:pPr>
        <w:spacing w:after="80"/>
        <w:rPr>
          <w:iCs/>
          <w:lang w:bidi="cs-CZ"/>
        </w:rPr>
      </w:pPr>
      <w:r w:rsidRPr="004928E6">
        <w:rPr>
          <w:i/>
          <w:lang w:bidi="cs-CZ"/>
        </w:rPr>
        <w:t>BONDS 2 by IQOS</w:t>
      </w:r>
      <w:r w:rsidRPr="004928E6">
        <w:rPr>
          <w:iCs/>
          <w:lang w:bidi="cs-CZ"/>
        </w:rPr>
        <w:t xml:space="preserve"> je dostupný ve třech barevných provedeních: Cosmic Black, Ocean Blue a Ruby Red. Zařízení i náplně budou na začátku dostupné</w:t>
      </w:r>
      <w:r w:rsidR="00597F63" w:rsidRPr="004928E6">
        <w:rPr>
          <w:iCs/>
          <w:lang w:bidi="cs-CZ"/>
        </w:rPr>
        <w:t xml:space="preserve"> </w:t>
      </w:r>
      <w:r w:rsidRPr="004928E6">
        <w:rPr>
          <w:iCs/>
          <w:lang w:bidi="cs-CZ"/>
        </w:rPr>
        <w:t xml:space="preserve">ve vybraných maloobchodních prodejnách. Postupně budou k dispozici dospělým uživatelům na celém českém trhu. Doporučená maloobchodní cena zařízení </w:t>
      </w:r>
      <w:r w:rsidRPr="004928E6">
        <w:rPr>
          <w:i/>
          <w:lang w:bidi="cs-CZ"/>
        </w:rPr>
        <w:t>BONDS 2 by IQOS</w:t>
      </w:r>
      <w:r w:rsidRPr="004928E6">
        <w:rPr>
          <w:iCs/>
          <w:lang w:bidi="cs-CZ"/>
        </w:rPr>
        <w:t xml:space="preserve"> je 390 Kč a doporučená </w:t>
      </w:r>
      <w:r w:rsidR="00B672FC" w:rsidRPr="004928E6">
        <w:rPr>
          <w:iCs/>
          <w:lang w:bidi="cs-CZ"/>
        </w:rPr>
        <w:t>maloobchodní</w:t>
      </w:r>
      <w:r w:rsidRPr="004928E6">
        <w:rPr>
          <w:iCs/>
          <w:lang w:bidi="cs-CZ"/>
        </w:rPr>
        <w:t xml:space="preserve"> cena tabákových náplní </w:t>
      </w:r>
      <w:r w:rsidRPr="004928E6">
        <w:rPr>
          <w:i/>
          <w:lang w:bidi="cs-CZ"/>
        </w:rPr>
        <w:t>BLENDS</w:t>
      </w:r>
      <w:r w:rsidRPr="004928E6">
        <w:rPr>
          <w:iCs/>
          <w:lang w:bidi="cs-CZ"/>
        </w:rPr>
        <w:t xml:space="preserve"> je 125 Kč.</w:t>
      </w:r>
    </w:p>
    <w:p w14:paraId="196DAE8C" w14:textId="023803BA" w:rsidR="00BC3A26" w:rsidRDefault="00E9213A" w:rsidP="00F36F25">
      <w:pPr>
        <w:spacing w:after="80"/>
        <w:rPr>
          <w:iCs/>
          <w:lang w:bidi="cs-CZ"/>
        </w:rPr>
      </w:pPr>
      <w:r w:rsidRPr="00247277">
        <w:rPr>
          <w:iCs/>
          <w:lang w:bidi="cs-CZ"/>
        </w:rPr>
        <w:t>Nikotinové výrobky jsou určeny výhradně pro dospělé uživatele</w:t>
      </w:r>
      <w:r w:rsidRPr="00427A87">
        <w:rPr>
          <w:i/>
          <w:lang w:bidi="cs-CZ"/>
        </w:rPr>
        <w:t>. „Plně podporujeme všechny snahy vedoucí k tomu, aby tyto výrobky nekončily v rukou nezletilých. Ti by nikotin neměli užívat v jakékoliv formě,“</w:t>
      </w:r>
      <w:r w:rsidRPr="00247277">
        <w:rPr>
          <w:iCs/>
          <w:lang w:bidi="cs-CZ"/>
        </w:rPr>
        <w:t xml:space="preserve"> říká Jana Kotalíková, ředitelka vnějších vztahů</w:t>
      </w:r>
      <w:r w:rsidR="002D0E85">
        <w:rPr>
          <w:iCs/>
          <w:lang w:bidi="cs-CZ"/>
        </w:rPr>
        <w:t>.</w:t>
      </w:r>
      <w:r w:rsidRPr="00247277">
        <w:rPr>
          <w:iCs/>
          <w:lang w:bidi="cs-CZ"/>
        </w:rPr>
        <w:t xml:space="preserve"> </w:t>
      </w:r>
    </w:p>
    <w:p w14:paraId="3380AA90" w14:textId="2F02946E" w:rsidR="00E9213A" w:rsidRDefault="00E9213A" w:rsidP="00F36F25">
      <w:pPr>
        <w:spacing w:after="80"/>
        <w:rPr>
          <w:iCs/>
          <w:lang w:bidi="cs-CZ"/>
        </w:rPr>
      </w:pPr>
      <w:r w:rsidRPr="00534536">
        <w:rPr>
          <w:iCs/>
          <w:lang w:bidi="cs-CZ"/>
        </w:rPr>
        <w:t>Philip Morris International dlouhodobě směřuje k nahrazení cigaret bezdýmnými alternativami. Ke konci roku 2025 společnost odhadovala, že její bezdýmné produkty využívá více než 43 milionů dospělých uživatelů, z nichž více než 35</w:t>
      </w:r>
      <w:r w:rsidR="00003985">
        <w:rPr>
          <w:iCs/>
          <w:lang w:bidi="cs-CZ"/>
        </w:rPr>
        <w:t xml:space="preserve"> </w:t>
      </w:r>
      <w:r w:rsidRPr="00534536">
        <w:rPr>
          <w:iCs/>
          <w:lang w:bidi="cs-CZ"/>
        </w:rPr>
        <w:t>milionů tvoří uživatelé IQOS</w:t>
      </w:r>
      <w:r w:rsidR="005C25EA">
        <w:rPr>
          <w:rStyle w:val="FootnoteReference"/>
          <w:rFonts w:eastAsia="Calibri" w:cs="Calibri"/>
          <w:iCs/>
          <w:szCs w:val="20"/>
          <w:lang w:bidi="cs-CZ"/>
        </w:rPr>
        <w:footnoteReference w:id="4"/>
      </w:r>
      <w:r w:rsidR="002D0E85">
        <w:rPr>
          <w:iCs/>
          <w:lang w:bidi="cs-CZ"/>
        </w:rPr>
        <w:t xml:space="preserve">, </w:t>
      </w:r>
      <w:r w:rsidRPr="00534536">
        <w:rPr>
          <w:iCs/>
          <w:lang w:bidi="cs-CZ"/>
        </w:rPr>
        <w:t>přičemž mnozí z nich cigarety zcela nahradili nebo významně snížili jejich spotřebu.</w:t>
      </w:r>
      <w:r w:rsidR="00235B34">
        <w:rPr>
          <w:iCs/>
          <w:lang w:bidi="cs-CZ"/>
        </w:rPr>
        <w:t xml:space="preserve"> </w:t>
      </w:r>
      <w:r w:rsidRPr="00534536">
        <w:rPr>
          <w:iCs/>
          <w:lang w:bidi="cs-CZ"/>
        </w:rPr>
        <w:t>Zároveň se PMI zavázala, že do roku 2030</w:t>
      </w:r>
      <w:r w:rsidR="00E71028">
        <w:rPr>
          <w:iCs/>
          <w:lang w:bidi="cs-CZ"/>
        </w:rPr>
        <w:t xml:space="preserve"> na</w:t>
      </w:r>
      <w:r w:rsidR="00F122DA">
        <w:rPr>
          <w:iCs/>
          <w:lang w:bidi="cs-CZ"/>
        </w:rPr>
        <w:t xml:space="preserve"> více než 60 </w:t>
      </w:r>
      <w:r w:rsidR="00B672FC">
        <w:rPr>
          <w:iCs/>
          <w:lang w:bidi="cs-CZ"/>
        </w:rPr>
        <w:t>trzích</w:t>
      </w:r>
      <w:r w:rsidR="00F122DA">
        <w:rPr>
          <w:iCs/>
          <w:lang w:bidi="cs-CZ"/>
        </w:rPr>
        <w:t>,</w:t>
      </w:r>
      <w:r w:rsidRPr="00534536">
        <w:rPr>
          <w:iCs/>
          <w:lang w:bidi="cs-CZ"/>
        </w:rPr>
        <w:t xml:space="preserve"> budou dvě třetiny jejích čistých příjmů pocházet z bezdýmných produktů a že více než </w:t>
      </w:r>
      <w:r w:rsidR="002A1F05">
        <w:rPr>
          <w:iCs/>
          <w:lang w:bidi="cs-CZ"/>
        </w:rPr>
        <w:t xml:space="preserve">polovina </w:t>
      </w:r>
      <w:r w:rsidRPr="00534536">
        <w:rPr>
          <w:iCs/>
          <w:lang w:bidi="cs-CZ"/>
        </w:rPr>
        <w:t>uživatelů přejde od cigaret k těmto alternativám</w:t>
      </w:r>
      <w:r w:rsidR="00B35D3F">
        <w:rPr>
          <w:iCs/>
          <w:lang w:bidi="cs-CZ"/>
        </w:rPr>
        <w:t>.</w:t>
      </w:r>
      <w:r w:rsidR="00B35D3F">
        <w:rPr>
          <w:rStyle w:val="FootnoteReference"/>
          <w:rFonts w:eastAsia="Calibri" w:cs="Calibri"/>
          <w:iCs/>
          <w:szCs w:val="20"/>
          <w:lang w:bidi="cs-CZ"/>
        </w:rPr>
        <w:footnoteReference w:id="5"/>
      </w:r>
    </w:p>
    <w:p w14:paraId="05A1A324" w14:textId="65E1CDE2" w:rsidR="00ED54C5" w:rsidRPr="00ED54C5" w:rsidRDefault="0018552C" w:rsidP="00F36F25">
      <w:pPr>
        <w:spacing w:after="80"/>
        <w:rPr>
          <w:b/>
          <w:iCs/>
          <w:lang w:bidi="cs-CZ"/>
        </w:rPr>
      </w:pPr>
      <w:r>
        <w:rPr>
          <w:b/>
          <w:iCs/>
          <w:lang w:bidi="cs-CZ"/>
        </w:rPr>
        <w:t>Důležit</w:t>
      </w:r>
      <w:r w:rsidR="00854104">
        <w:rPr>
          <w:b/>
          <w:iCs/>
          <w:lang w:bidi="cs-CZ"/>
        </w:rPr>
        <w:t>é</w:t>
      </w:r>
      <w:r>
        <w:rPr>
          <w:b/>
          <w:iCs/>
          <w:lang w:bidi="cs-CZ"/>
        </w:rPr>
        <w:t xml:space="preserve"> informace</w:t>
      </w:r>
    </w:p>
    <w:p w14:paraId="00ABDA22" w14:textId="7E3815BD" w:rsidR="00F36F25" w:rsidRDefault="00C60311" w:rsidP="00F36F25">
      <w:pPr>
        <w:spacing w:after="80"/>
        <w:rPr>
          <w:iCs/>
          <w:lang w:bidi="cs-CZ"/>
        </w:rPr>
      </w:pPr>
      <w:r w:rsidRPr="00C60311">
        <w:rPr>
          <w:iCs/>
          <w:lang w:bidi="cs-CZ"/>
        </w:rPr>
        <w:t>Bezdýmné výrobky nejsou bez rizika, obsahují nikotin, který je návykový. Jsou určené výhradně pro dospělé, kteří by pokračovali v kouření anebo užívání jiných nikotinových produktů. Nejlepším způsobem, jak snížit zdravotní rizika spojená s</w:t>
      </w:r>
      <w:r w:rsidR="00B00433">
        <w:rPr>
          <w:iCs/>
          <w:lang w:bidi="cs-CZ"/>
        </w:rPr>
        <w:t> </w:t>
      </w:r>
      <w:r w:rsidRPr="00C60311">
        <w:rPr>
          <w:iCs/>
          <w:lang w:bidi="cs-CZ"/>
        </w:rPr>
        <w:t>užíváním tabákových a nikotinových výrobků, je úplně přestat tabákové výrobky a výrobky s obsahem nikotinu užívat.</w:t>
      </w:r>
      <w:r w:rsidR="00F36F25">
        <w:rPr>
          <w:iCs/>
          <w:lang w:bidi="cs-CZ"/>
        </w:rPr>
        <w:t xml:space="preserve"> </w:t>
      </w:r>
      <w:r w:rsidR="00874AAF" w:rsidRPr="004928E6">
        <w:rPr>
          <w:iCs/>
          <w:lang w:bidi="cs-CZ"/>
        </w:rPr>
        <w:t xml:space="preserve">Více informací o produktech </w:t>
      </w:r>
      <w:r w:rsidR="00874AAF" w:rsidRPr="004928E6">
        <w:rPr>
          <w:i/>
          <w:lang w:bidi="cs-CZ"/>
        </w:rPr>
        <w:t>BONDS 2 by IQOS</w:t>
      </w:r>
      <w:r w:rsidR="00874AAF" w:rsidRPr="004928E6">
        <w:rPr>
          <w:iCs/>
          <w:lang w:bidi="cs-CZ"/>
        </w:rPr>
        <w:t xml:space="preserve"> a tabákových náplních </w:t>
      </w:r>
      <w:r w:rsidR="00874AAF" w:rsidRPr="004928E6">
        <w:rPr>
          <w:i/>
          <w:lang w:bidi="cs-CZ"/>
        </w:rPr>
        <w:t>BLENDS</w:t>
      </w:r>
      <w:r w:rsidR="00874AAF" w:rsidRPr="004928E6">
        <w:rPr>
          <w:iCs/>
          <w:lang w:bidi="cs-CZ"/>
        </w:rPr>
        <w:t xml:space="preserve"> naleznete na webových stránkách </w:t>
      </w:r>
      <w:hyperlink r:id="rId11" w:history="1">
        <w:r w:rsidR="00874AAF" w:rsidRPr="004928E6">
          <w:rPr>
            <w:rStyle w:val="Hyperlink"/>
            <w:rFonts w:eastAsia="Calibri" w:cs="Calibri"/>
            <w:iCs/>
            <w:szCs w:val="20"/>
            <w:lang w:bidi="cs-CZ"/>
          </w:rPr>
          <w:t>www.mujbonds.cz</w:t>
        </w:r>
      </w:hyperlink>
      <w:r w:rsidR="00874AAF" w:rsidRPr="004928E6">
        <w:rPr>
          <w:iCs/>
          <w:lang w:bidi="cs-CZ"/>
        </w:rPr>
        <w:t>.</w:t>
      </w:r>
      <w:r w:rsidR="00874AAF">
        <w:rPr>
          <w:iCs/>
          <w:lang w:bidi="cs-CZ"/>
        </w:rPr>
        <w:t xml:space="preserve"> </w:t>
      </w:r>
      <w:r w:rsidR="00F36F25">
        <w:rPr>
          <w:iCs/>
          <w:lang w:bidi="cs-CZ"/>
        </w:rPr>
        <w:br w:type="page"/>
      </w:r>
    </w:p>
    <w:p w14:paraId="46B416C6" w14:textId="09661125" w:rsidR="00D95A89" w:rsidRPr="00C47F60" w:rsidRDefault="00D95A89" w:rsidP="00C47F60">
      <w:pPr>
        <w:spacing w:after="0"/>
        <w:rPr>
          <w:rFonts w:cs="Calibri"/>
          <w:b/>
          <w:bCs/>
          <w:sz w:val="16"/>
          <w:szCs w:val="16"/>
        </w:rPr>
      </w:pPr>
      <w:r w:rsidRPr="00C47F60">
        <w:rPr>
          <w:rFonts w:cs="Calibri"/>
          <w:b/>
          <w:bCs/>
          <w:sz w:val="16"/>
          <w:szCs w:val="16"/>
        </w:rPr>
        <w:lastRenderedPageBreak/>
        <w:t xml:space="preserve">Kontakt pro média: </w:t>
      </w:r>
    </w:p>
    <w:p w14:paraId="05DA77B6" w14:textId="0E67B09D" w:rsidR="00D95A89" w:rsidRPr="00C47F60" w:rsidRDefault="00C23870" w:rsidP="00C47F60">
      <w:pPr>
        <w:spacing w:after="0"/>
        <w:rPr>
          <w:rFonts w:cs="Calibri"/>
          <w:b/>
          <w:bCs/>
          <w:sz w:val="16"/>
          <w:szCs w:val="16"/>
        </w:rPr>
      </w:pPr>
      <w:r w:rsidRPr="00C47F60">
        <w:rPr>
          <w:rFonts w:cs="Calibri"/>
          <w:sz w:val="16"/>
          <w:szCs w:val="16"/>
        </w:rPr>
        <w:t>Vojtěch Severýn</w:t>
      </w:r>
    </w:p>
    <w:p w14:paraId="292F2310" w14:textId="0241EC28" w:rsidR="00D95A89" w:rsidRPr="00C47F60" w:rsidRDefault="00D95A89" w:rsidP="00C47F60">
      <w:pPr>
        <w:spacing w:after="0"/>
        <w:rPr>
          <w:rFonts w:cs="Calibri"/>
          <w:b/>
          <w:bCs/>
          <w:sz w:val="16"/>
          <w:szCs w:val="16"/>
        </w:rPr>
      </w:pPr>
      <w:r w:rsidRPr="00C47F60">
        <w:rPr>
          <w:rFonts w:cs="Calibri"/>
          <w:sz w:val="16"/>
          <w:szCs w:val="16"/>
        </w:rPr>
        <w:t>Manažer komunikace</w:t>
      </w:r>
      <w:r w:rsidRPr="00C47F60">
        <w:rPr>
          <w:rFonts w:cs="Calibri"/>
          <w:b/>
          <w:bCs/>
          <w:sz w:val="16"/>
          <w:szCs w:val="16"/>
        </w:rPr>
        <w:t xml:space="preserve"> </w:t>
      </w:r>
    </w:p>
    <w:p w14:paraId="4B8A014D" w14:textId="28948FA7" w:rsidR="00CD6529" w:rsidRPr="00C47F60" w:rsidRDefault="00C23870" w:rsidP="00C47F60">
      <w:pPr>
        <w:spacing w:after="0"/>
        <w:rPr>
          <w:rFonts w:asciiTheme="minorHAnsi" w:hAnsiTheme="minorHAnsi" w:cstheme="minorHAnsi"/>
          <w:sz w:val="16"/>
          <w:szCs w:val="16"/>
        </w:rPr>
      </w:pPr>
      <w:hyperlink r:id="rId12" w:history="1">
        <w:r w:rsidRPr="00C47F60">
          <w:rPr>
            <w:rStyle w:val="Hyperlink"/>
            <w:rFonts w:asciiTheme="minorHAnsi" w:hAnsiTheme="minorHAnsi" w:cstheme="minorHAnsi"/>
            <w:sz w:val="16"/>
            <w:szCs w:val="16"/>
          </w:rPr>
          <w:t>Vojtech.Severyn@pmi.com</w:t>
        </w:r>
      </w:hyperlink>
    </w:p>
    <w:p w14:paraId="58F682CE" w14:textId="77777777" w:rsidR="0064293A" w:rsidRPr="00C47F60" w:rsidRDefault="0064293A" w:rsidP="00C47F60">
      <w:pPr>
        <w:spacing w:after="0"/>
        <w:rPr>
          <w:rFonts w:cs="Calibri"/>
          <w:b/>
          <w:bCs/>
          <w:sz w:val="16"/>
          <w:szCs w:val="16"/>
        </w:rPr>
      </w:pPr>
    </w:p>
    <w:p w14:paraId="4E9BC3C4" w14:textId="4D007C35" w:rsidR="00F36F25" w:rsidRDefault="00F36F25" w:rsidP="00C47F60">
      <w:pPr>
        <w:spacing w:after="0"/>
        <w:rPr>
          <w:rFonts w:eastAsia="Calibri" w:cs="Calibri"/>
          <w:b/>
          <w:bCs/>
          <w:sz w:val="16"/>
          <w:szCs w:val="16"/>
          <w:lang w:bidi="cs-CZ"/>
        </w:rPr>
      </w:pPr>
      <w:r>
        <w:rPr>
          <w:rFonts w:eastAsia="Calibri" w:cs="Calibri"/>
          <w:b/>
          <w:bCs/>
          <w:sz w:val="16"/>
          <w:szCs w:val="16"/>
          <w:lang w:bidi="cs-CZ"/>
        </w:rPr>
        <w:t>***</w:t>
      </w:r>
    </w:p>
    <w:p w14:paraId="73B0B58F" w14:textId="77777777" w:rsidR="00F36F25" w:rsidRDefault="00F36F25" w:rsidP="00C47F60">
      <w:pPr>
        <w:spacing w:after="0"/>
        <w:rPr>
          <w:rFonts w:eastAsia="Calibri" w:cs="Calibri"/>
          <w:b/>
          <w:bCs/>
          <w:sz w:val="16"/>
          <w:szCs w:val="16"/>
          <w:lang w:bidi="cs-CZ"/>
        </w:rPr>
      </w:pPr>
    </w:p>
    <w:p w14:paraId="7FB2A369" w14:textId="48B21A88" w:rsidR="00961F7A" w:rsidRPr="00F36F25" w:rsidRDefault="00961F7A" w:rsidP="00C47F60">
      <w:pPr>
        <w:spacing w:after="0"/>
        <w:rPr>
          <w:rFonts w:eastAsia="Calibri" w:cs="Calibri"/>
          <w:b/>
          <w:bCs/>
          <w:szCs w:val="20"/>
          <w:lang w:bidi="cs-CZ"/>
        </w:rPr>
      </w:pPr>
      <w:r w:rsidRPr="00F36F25">
        <w:rPr>
          <w:rFonts w:eastAsia="Calibri" w:cs="Calibri"/>
          <w:b/>
          <w:bCs/>
          <w:szCs w:val="20"/>
          <w:lang w:bidi="cs-CZ"/>
        </w:rPr>
        <w:t>Philip Morris ČR a.s.</w:t>
      </w:r>
    </w:p>
    <w:p w14:paraId="4E568498" w14:textId="6B574235" w:rsidR="005B0AFE" w:rsidRPr="00F36F25" w:rsidRDefault="005B0AFE" w:rsidP="00C47F60">
      <w:pPr>
        <w:spacing w:after="0"/>
        <w:rPr>
          <w:rFonts w:eastAsia="Calibri" w:cs="Calibri"/>
          <w:szCs w:val="20"/>
          <w:lang w:bidi="cs-CZ"/>
        </w:rPr>
      </w:pPr>
      <w:r w:rsidRPr="00F36F25">
        <w:rPr>
          <w:rFonts w:eastAsia="Calibri" w:cs="Calibri"/>
          <w:szCs w:val="20"/>
          <w:lang w:bidi="cs-CZ"/>
        </w:rPr>
        <w:t xml:space="preserve">Společnost Philip Morris ČR a.s. je dceřinou společností Philip Morris International (PMI), jež se aktivně podílí na budování světa bez kouře. Vedle tradičních tabákových výrobků distribuuje Philip Morris ČR a.s. na českém trhu bezdýmná elektronická zařízení </w:t>
      </w:r>
      <w:r w:rsidRPr="00F36F25">
        <w:rPr>
          <w:rFonts w:eastAsia="Calibri" w:cs="Calibri"/>
          <w:i/>
          <w:iCs/>
          <w:szCs w:val="20"/>
          <w:lang w:bidi="cs-CZ"/>
        </w:rPr>
        <w:t>IQOS ILUMA,</w:t>
      </w:r>
      <w:r w:rsidR="00B00433" w:rsidRPr="00F36F25">
        <w:rPr>
          <w:rFonts w:eastAsia="Calibri" w:cs="Calibri"/>
          <w:i/>
          <w:iCs/>
          <w:szCs w:val="20"/>
          <w:lang w:bidi="cs-CZ"/>
        </w:rPr>
        <w:t xml:space="preserve"> </w:t>
      </w:r>
      <w:r w:rsidRPr="00F36F25">
        <w:rPr>
          <w:rFonts w:eastAsia="Calibri" w:cs="Calibri"/>
          <w:szCs w:val="20"/>
          <w:lang w:bidi="cs-CZ"/>
        </w:rPr>
        <w:t xml:space="preserve">kompatibilní tabákové náplně </w:t>
      </w:r>
      <w:r w:rsidRPr="00F36F25">
        <w:rPr>
          <w:rFonts w:eastAsia="Calibri" w:cs="Calibri"/>
          <w:i/>
          <w:iCs/>
          <w:szCs w:val="20"/>
          <w:lang w:bidi="cs-CZ"/>
        </w:rPr>
        <w:t>TEREA</w:t>
      </w:r>
      <w:r w:rsidR="00B00433" w:rsidRPr="00F36F25">
        <w:rPr>
          <w:rFonts w:eastAsia="Calibri" w:cs="Calibri"/>
          <w:szCs w:val="20"/>
          <w:lang w:bidi="cs-CZ"/>
        </w:rPr>
        <w:t xml:space="preserve"> </w:t>
      </w:r>
      <w:r w:rsidRPr="00F36F25">
        <w:rPr>
          <w:rFonts w:eastAsia="Calibri" w:cs="Calibri"/>
          <w:szCs w:val="20"/>
          <w:lang w:bidi="cs-CZ"/>
        </w:rPr>
        <w:t xml:space="preserve">a náplně bez tabáku </w:t>
      </w:r>
      <w:r w:rsidRPr="00F36F25">
        <w:rPr>
          <w:rFonts w:eastAsia="Calibri" w:cs="Calibri"/>
          <w:i/>
          <w:iCs/>
          <w:szCs w:val="20"/>
          <w:lang w:bidi="cs-CZ"/>
        </w:rPr>
        <w:t>LEVIA</w:t>
      </w:r>
      <w:r w:rsidRPr="00F36F25">
        <w:rPr>
          <w:rFonts w:eastAsia="Calibri" w:cs="Calibri"/>
          <w:szCs w:val="20"/>
          <w:lang w:bidi="cs-CZ"/>
        </w:rPr>
        <w:t xml:space="preserve">, zařízení na nahřívání tabáku </w:t>
      </w:r>
      <w:r w:rsidRPr="00F36F25">
        <w:rPr>
          <w:rFonts w:eastAsia="Calibri" w:cs="Calibri"/>
          <w:i/>
          <w:iCs/>
          <w:szCs w:val="20"/>
          <w:lang w:bidi="cs-CZ"/>
        </w:rPr>
        <w:t>lil</w:t>
      </w:r>
      <w:r w:rsidRPr="00F36F25">
        <w:rPr>
          <w:rFonts w:eastAsia="Calibri" w:cs="Calibri"/>
          <w:szCs w:val="20"/>
          <w:lang w:bidi="cs-CZ"/>
        </w:rPr>
        <w:t xml:space="preserve"> </w:t>
      </w:r>
      <w:r w:rsidRPr="00F36F25">
        <w:rPr>
          <w:rFonts w:eastAsia="Calibri" w:cs="Calibri"/>
          <w:i/>
          <w:iCs/>
          <w:szCs w:val="20"/>
          <w:lang w:bidi="cs-CZ"/>
        </w:rPr>
        <w:t>SOLID</w:t>
      </w:r>
      <w:r w:rsidR="00B00433" w:rsidRPr="00F36F25">
        <w:rPr>
          <w:rFonts w:eastAsia="Calibri" w:cs="Calibri"/>
          <w:szCs w:val="20"/>
          <w:lang w:bidi="cs-CZ"/>
        </w:rPr>
        <w:t xml:space="preserve"> </w:t>
      </w:r>
      <w:r w:rsidRPr="00F36F25">
        <w:rPr>
          <w:rFonts w:eastAsia="Calibri" w:cs="Calibri"/>
          <w:szCs w:val="20"/>
          <w:lang w:bidi="cs-CZ"/>
        </w:rPr>
        <w:t>s</w:t>
      </w:r>
      <w:r w:rsidR="00B00433" w:rsidRPr="00F36F25">
        <w:rPr>
          <w:rFonts w:eastAsia="Calibri" w:cs="Calibri"/>
          <w:szCs w:val="20"/>
          <w:lang w:bidi="cs-CZ"/>
        </w:rPr>
        <w:t> </w:t>
      </w:r>
      <w:r w:rsidRPr="00F36F25">
        <w:rPr>
          <w:rFonts w:eastAsia="Calibri" w:cs="Calibri"/>
          <w:szCs w:val="20"/>
          <w:lang w:bidi="cs-CZ"/>
        </w:rPr>
        <w:t xml:space="preserve">tabákovými náplněmi </w:t>
      </w:r>
      <w:r w:rsidRPr="00F36F25">
        <w:rPr>
          <w:rFonts w:eastAsia="Calibri" w:cs="Calibri"/>
          <w:i/>
          <w:iCs/>
          <w:szCs w:val="20"/>
          <w:lang w:bidi="cs-CZ"/>
        </w:rPr>
        <w:t>Fiit,</w:t>
      </w:r>
      <w:r w:rsidR="00B00433" w:rsidRPr="00F36F25">
        <w:rPr>
          <w:rFonts w:eastAsia="Calibri" w:cs="Calibri"/>
          <w:szCs w:val="20"/>
          <w:lang w:bidi="cs-CZ"/>
        </w:rPr>
        <w:t xml:space="preserve"> </w:t>
      </w:r>
      <w:r w:rsidRPr="00F36F25">
        <w:rPr>
          <w:rFonts w:eastAsia="Calibri" w:cs="Calibri"/>
          <w:szCs w:val="20"/>
          <w:lang w:bidi="cs-CZ"/>
        </w:rPr>
        <w:t xml:space="preserve">elektronické cigarety </w:t>
      </w:r>
      <w:r w:rsidRPr="00F36F25">
        <w:rPr>
          <w:rFonts w:eastAsia="Calibri" w:cs="Calibri"/>
          <w:i/>
          <w:iCs/>
          <w:szCs w:val="20"/>
          <w:lang w:bidi="cs-CZ"/>
        </w:rPr>
        <w:t>VEEV</w:t>
      </w:r>
      <w:r w:rsidRPr="00F36F25">
        <w:rPr>
          <w:rFonts w:eastAsia="Calibri" w:cs="Calibri"/>
          <w:szCs w:val="20"/>
          <w:lang w:bidi="cs-CZ"/>
        </w:rPr>
        <w:t xml:space="preserve"> </w:t>
      </w:r>
      <w:r w:rsidRPr="00F36F25">
        <w:rPr>
          <w:rFonts w:eastAsia="Calibri" w:cs="Calibri"/>
          <w:i/>
          <w:iCs/>
          <w:szCs w:val="20"/>
          <w:lang w:bidi="cs-CZ"/>
        </w:rPr>
        <w:t>ONE</w:t>
      </w:r>
      <w:r w:rsidRPr="00F36F25">
        <w:rPr>
          <w:rFonts w:eastAsia="Calibri" w:cs="Calibri"/>
          <w:szCs w:val="20"/>
          <w:lang w:bidi="cs-CZ"/>
        </w:rPr>
        <w:t xml:space="preserve">, jednorázové elektronické cigarety </w:t>
      </w:r>
      <w:r w:rsidRPr="00F36F25">
        <w:rPr>
          <w:rFonts w:eastAsia="Calibri" w:cs="Calibri"/>
          <w:i/>
          <w:iCs/>
          <w:szCs w:val="20"/>
          <w:lang w:bidi="cs-CZ"/>
        </w:rPr>
        <w:t>VEEV NOW ULTRA</w:t>
      </w:r>
      <w:r w:rsidRPr="00F36F25">
        <w:rPr>
          <w:rFonts w:eastAsia="Calibri" w:cs="Calibri"/>
          <w:szCs w:val="20"/>
          <w:lang w:bidi="cs-CZ"/>
        </w:rPr>
        <w:t xml:space="preserve">, nikotinové sáčky </w:t>
      </w:r>
      <w:r w:rsidRPr="00F36F25">
        <w:rPr>
          <w:rFonts w:eastAsia="Calibri" w:cs="Calibri"/>
          <w:i/>
          <w:iCs/>
          <w:szCs w:val="20"/>
          <w:lang w:bidi="cs-CZ"/>
        </w:rPr>
        <w:t>ZYN</w:t>
      </w:r>
      <w:r w:rsidRPr="00F36F25">
        <w:rPr>
          <w:rFonts w:eastAsia="Calibri" w:cs="Calibri"/>
          <w:szCs w:val="20"/>
          <w:lang w:bidi="cs-CZ"/>
        </w:rPr>
        <w:t> a další související příslušenství. Společnost Philip Morris ČR a.s., která zde působí už od roku 1992 a</w:t>
      </w:r>
      <w:r w:rsidR="00B00433" w:rsidRPr="00F36F25">
        <w:rPr>
          <w:rFonts w:eastAsia="Calibri" w:cs="Calibri"/>
          <w:szCs w:val="20"/>
          <w:lang w:bidi="cs-CZ"/>
        </w:rPr>
        <w:t> </w:t>
      </w:r>
      <w:r w:rsidRPr="00F36F25">
        <w:rPr>
          <w:rFonts w:eastAsia="Calibri" w:cs="Calibri"/>
          <w:szCs w:val="20"/>
          <w:lang w:bidi="cs-CZ"/>
        </w:rPr>
        <w:t>zaměstnává více než 1 100 lidí, je k</w:t>
      </w:r>
      <w:r w:rsidR="00255C6E" w:rsidRPr="00F36F25">
        <w:rPr>
          <w:rFonts w:eastAsia="Calibri" w:cs="Calibri"/>
          <w:szCs w:val="20"/>
          <w:lang w:bidi="cs-CZ"/>
        </w:rPr>
        <w:t>o</w:t>
      </w:r>
      <w:r w:rsidRPr="00F36F25">
        <w:rPr>
          <w:rFonts w:eastAsia="Calibri" w:cs="Calibri"/>
          <w:szCs w:val="20"/>
          <w:lang w:bidi="cs-CZ"/>
        </w:rPr>
        <w:t>tována na Burze cenných papírů Praha (BCPP). Zároveň vlastní 99% obchodní podíl v</w:t>
      </w:r>
      <w:r w:rsidR="00B00433" w:rsidRPr="00F36F25">
        <w:rPr>
          <w:rFonts w:eastAsia="Calibri" w:cs="Calibri"/>
          <w:szCs w:val="20"/>
          <w:lang w:bidi="cs-CZ"/>
        </w:rPr>
        <w:t> </w:t>
      </w:r>
      <w:r w:rsidRPr="00F36F25">
        <w:rPr>
          <w:rFonts w:eastAsia="Calibri" w:cs="Calibri"/>
          <w:szCs w:val="20"/>
          <w:lang w:bidi="cs-CZ"/>
        </w:rPr>
        <w:t>dceřiné společnosti Philip Morris Slovakia s.r.o., registrované ve Slovenské republice. Společnost již více než 30 let přispívá na pomoc různým charitativním projektům, včetně projektů zahrnujících podporu sociálních programů zaměřených na zlepšení životních podmínek v místních komunitách. Oznámení obsažená v této tiskové zprávě</w:t>
      </w:r>
      <w:r w:rsidR="00B00433" w:rsidRPr="00F36F25">
        <w:rPr>
          <w:rFonts w:eastAsia="Calibri" w:cs="Calibri"/>
          <w:szCs w:val="20"/>
          <w:lang w:bidi="cs-CZ"/>
        </w:rPr>
        <w:t xml:space="preserve"> </w:t>
      </w:r>
      <w:r w:rsidRPr="00F36F25">
        <w:rPr>
          <w:rFonts w:eastAsia="Calibri" w:cs="Calibri"/>
          <w:szCs w:val="20"/>
          <w:lang w:bidi="cs-CZ"/>
        </w:rPr>
        <w:t xml:space="preserve">by měla být čtena ve spojitosti s naší poslední zveřejněnou výroční finanční zprávou a neindikují naše budoucí výsledky. Ty jsou spojeny s řadou obchodních rizik a nejistot, které jsou ve výroční finanční zprávě shrnuty v části Rizikové faktory související s naším podnikáním a odvětvím. Více informací naleznete na </w:t>
      </w:r>
      <w:hyperlink r:id="rId13" w:tgtFrame="_blank" w:tooltip="https://www.philipmorris.cz/" w:history="1">
        <w:r w:rsidRPr="00F36F25">
          <w:rPr>
            <w:rStyle w:val="Hyperlink"/>
            <w:rFonts w:eastAsia="Calibri" w:cs="Calibri"/>
            <w:szCs w:val="20"/>
            <w:lang w:bidi="cs-CZ"/>
          </w:rPr>
          <w:t>www.philipmorris.cz</w:t>
        </w:r>
      </w:hyperlink>
      <w:r w:rsidR="00255C6E" w:rsidRPr="00F36F25">
        <w:rPr>
          <w:rFonts w:eastAsia="Calibri" w:cs="Calibri"/>
          <w:szCs w:val="20"/>
          <w:lang w:bidi="cs-CZ"/>
        </w:rPr>
        <w:t xml:space="preserve">, </w:t>
      </w:r>
      <w:r w:rsidRPr="00F36F25">
        <w:rPr>
          <w:rFonts w:eastAsia="Calibri" w:cs="Calibri"/>
          <w:szCs w:val="20"/>
          <w:lang w:bidi="cs-CZ"/>
        </w:rPr>
        <w:t>včetně výroční zprávy za rok 2025.</w:t>
      </w:r>
    </w:p>
    <w:p w14:paraId="4DE58FB6" w14:textId="77777777" w:rsidR="004624D9" w:rsidRPr="00F36F25" w:rsidRDefault="004624D9" w:rsidP="00C47F60">
      <w:pPr>
        <w:spacing w:after="0"/>
        <w:rPr>
          <w:rFonts w:eastAsia="Calibri" w:cs="Calibri"/>
          <w:b/>
          <w:bCs/>
          <w:szCs w:val="20"/>
          <w:lang w:bidi="cs-CZ"/>
        </w:rPr>
      </w:pPr>
    </w:p>
    <w:p w14:paraId="3F9CD180" w14:textId="77777777" w:rsidR="00D51CF9" w:rsidRPr="00F36F25" w:rsidRDefault="00D51CF9" w:rsidP="00C47F60">
      <w:pPr>
        <w:spacing w:after="0"/>
        <w:rPr>
          <w:rFonts w:cs="Calibri"/>
          <w:b/>
          <w:bCs/>
          <w:szCs w:val="20"/>
        </w:rPr>
      </w:pPr>
      <w:r w:rsidRPr="00F36F25">
        <w:rPr>
          <w:rFonts w:cs="Calibri"/>
          <w:b/>
          <w:bCs/>
          <w:szCs w:val="20"/>
        </w:rPr>
        <w:t>Philip Morris International Inc.: Přinášíme budoucnost bez kouře</w:t>
      </w:r>
    </w:p>
    <w:p w14:paraId="7EFEB980" w14:textId="064BC03D" w:rsidR="00F36F25" w:rsidRDefault="00A34BC6" w:rsidP="00C47F60">
      <w:pPr>
        <w:spacing w:after="0"/>
        <w:rPr>
          <w:rFonts w:eastAsia="Calibri" w:cs="Calibri"/>
          <w:szCs w:val="20"/>
          <w:lang w:bidi="cs-CZ"/>
        </w:rPr>
      </w:pPr>
      <w:r w:rsidRPr="00F36F25">
        <w:rPr>
          <w:rFonts w:eastAsia="Calibri" w:cs="Calibri"/>
          <w:szCs w:val="20"/>
          <w:lang w:bidi="cs-CZ"/>
        </w:rPr>
        <w:t>Philip Morris International (PMI), přední světový výrobce spotřebního zboží, aktivně vytváří budoucnost bez dýmu a</w:t>
      </w:r>
      <w:r w:rsidR="00B00433" w:rsidRPr="00F36F25">
        <w:rPr>
          <w:rFonts w:eastAsia="Calibri" w:cs="Calibri"/>
          <w:szCs w:val="20"/>
          <w:lang w:bidi="cs-CZ"/>
        </w:rPr>
        <w:t> </w:t>
      </w:r>
      <w:r w:rsidRPr="00F36F25">
        <w:rPr>
          <w:rFonts w:eastAsia="Calibri" w:cs="Calibri"/>
          <w:szCs w:val="20"/>
          <w:lang w:bidi="cs-CZ"/>
        </w:rPr>
        <w:t>dlouhodobě rozvíjí své portfolio tak, aby zahrnovalo produkty mimo odvětví tabáku a nikotinu. Současné produktové portfolio společnosti sestává především z cigaret a bezdýmných výrobků, včetně kategorií zahřívaného tabáku, nikotinových sáčků a e-cigaret. Bezdýmné produkty společnosti PMI byly k  31. prosinci 2025 dostupné na 105 světových trzích a podle odhadů PMI již zhruba 43 milionů dospělých po celém svět</w:t>
      </w:r>
      <w:r w:rsidR="00255C6E" w:rsidRPr="00F36F25">
        <w:rPr>
          <w:rFonts w:eastAsia="Calibri" w:cs="Calibri"/>
          <w:szCs w:val="20"/>
          <w:lang w:bidi="cs-CZ"/>
        </w:rPr>
        <w:t>ě</w:t>
      </w:r>
      <w:r w:rsidRPr="00F36F25">
        <w:rPr>
          <w:rFonts w:eastAsia="Calibri" w:cs="Calibri"/>
          <w:szCs w:val="20"/>
          <w:lang w:bidi="cs-CZ"/>
        </w:rPr>
        <w:t xml:space="preserve"> užívá naše bezdýmné produkty, z nichž mnozí přestali kouřit cigarety nebo výrazně snížili jejich spotřebu.</w:t>
      </w:r>
      <w:r w:rsidR="005D4DD9">
        <w:rPr>
          <w:rFonts w:eastAsia="Calibri" w:cs="Calibri"/>
          <w:szCs w:val="20"/>
          <w:lang w:bidi="cs-CZ"/>
        </w:rPr>
        <w:t xml:space="preserve"> Za první čtvrtletí roku </w:t>
      </w:r>
      <w:r w:rsidRPr="00F36F25">
        <w:rPr>
          <w:rFonts w:eastAsia="Calibri" w:cs="Calibri"/>
          <w:szCs w:val="20"/>
          <w:lang w:bidi="cs-CZ"/>
        </w:rPr>
        <w:t>202</w:t>
      </w:r>
      <w:r w:rsidR="005D4DD9">
        <w:rPr>
          <w:rFonts w:eastAsia="Calibri" w:cs="Calibri"/>
          <w:szCs w:val="20"/>
          <w:lang w:bidi="cs-CZ"/>
        </w:rPr>
        <w:t>6</w:t>
      </w:r>
      <w:r w:rsidRPr="00F36F25">
        <w:rPr>
          <w:rFonts w:eastAsia="Calibri" w:cs="Calibri"/>
          <w:szCs w:val="20"/>
          <w:lang w:bidi="cs-CZ"/>
        </w:rPr>
        <w:t xml:space="preserve"> tvořily bezdýmné alternativy 4</w:t>
      </w:r>
      <w:r w:rsidR="005D4DD9">
        <w:rPr>
          <w:rFonts w:eastAsia="Calibri" w:cs="Calibri"/>
          <w:szCs w:val="20"/>
          <w:lang w:bidi="cs-CZ"/>
        </w:rPr>
        <w:t>3</w:t>
      </w:r>
      <w:r w:rsidRPr="00F36F25">
        <w:rPr>
          <w:rFonts w:eastAsia="Calibri" w:cs="Calibri"/>
          <w:szCs w:val="20"/>
          <w:lang w:bidi="cs-CZ"/>
        </w:rPr>
        <w:t xml:space="preserve"> procent</w:t>
      </w:r>
      <w:r w:rsidR="005D4DD9">
        <w:rPr>
          <w:rFonts w:eastAsia="Calibri" w:cs="Calibri"/>
          <w:szCs w:val="20"/>
          <w:lang w:bidi="cs-CZ"/>
        </w:rPr>
        <w:t xml:space="preserve"> </w:t>
      </w:r>
      <w:r w:rsidRPr="00F36F25">
        <w:rPr>
          <w:rFonts w:eastAsia="Calibri" w:cs="Calibri"/>
          <w:szCs w:val="20"/>
          <w:lang w:bidi="cs-CZ"/>
        </w:rPr>
        <w:t xml:space="preserve">celkových čistých tržeb společnosti. Od roku 2008 investovala společnost PMI více než 16 miliard amerických dolarů do vědecky podloženého vývoje a komercializace inovativních bezdýmných výrobků pro dospělé, kteří by jinak pokračovali v kouření, s cílem zcela ukončit </w:t>
      </w:r>
      <w:r w:rsidR="00C47F60" w:rsidRPr="00F36F25">
        <w:rPr>
          <w:rFonts w:eastAsia="Calibri" w:cs="Calibri"/>
          <w:szCs w:val="20"/>
          <w:lang w:bidi="cs-CZ"/>
        </w:rPr>
        <w:t xml:space="preserve"> </w:t>
      </w:r>
      <w:r w:rsidRPr="00F36F25">
        <w:rPr>
          <w:rFonts w:eastAsia="Calibri" w:cs="Calibri"/>
          <w:szCs w:val="20"/>
          <w:lang w:bidi="cs-CZ"/>
        </w:rPr>
        <w:t>prodej cigaret. To zahrnuje budování hodnot</w:t>
      </w:r>
      <w:r w:rsidR="00255C6E" w:rsidRPr="00F36F25">
        <w:rPr>
          <w:rFonts w:eastAsia="Calibri" w:cs="Calibri"/>
          <w:szCs w:val="20"/>
          <w:lang w:bidi="cs-CZ"/>
        </w:rPr>
        <w:t>i</w:t>
      </w:r>
      <w:r w:rsidRPr="00F36F25">
        <w:rPr>
          <w:rFonts w:eastAsia="Calibri" w:cs="Calibri"/>
          <w:szCs w:val="20"/>
          <w:lang w:bidi="cs-CZ"/>
        </w:rPr>
        <w:t xml:space="preserve">cích vědeckých schopností na špičkové úrovni, zejména v oblastech preklinické systémové toxikologie, klinického a behaviorálního výzkumu, jakož i postmarketingových studií. Na základě důkladného vědeckého posouzení schválil americký Úřad pro kontrolu potravin a léčiv (FDA) – jako vůbec první produkty ve svých kategoriích – prodej snusu General a nikotinových sáčků ZYN společnosti Swedish Match a zařízení IQOS a jeho náplní společnosti PMI. FDA zároveň autorizoval marketing zařízení IQOS a jeho tabákových náplní a snus General jako „tabákový výrobek s modifikovaným rizikem“ (MRTP). S významnými odbornými znalostmi, vybudovanými na pevných základech v oblasti biologických věd, má </w:t>
      </w:r>
      <w:r w:rsidR="001769F5" w:rsidRPr="00F36F25">
        <w:rPr>
          <w:rFonts w:eastAsia="Calibri" w:cs="Calibri"/>
          <w:szCs w:val="20"/>
          <w:lang w:bidi="cs-CZ"/>
        </w:rPr>
        <w:t xml:space="preserve">PMI </w:t>
      </w:r>
      <w:r w:rsidRPr="00F36F25">
        <w:rPr>
          <w:rFonts w:eastAsia="Calibri" w:cs="Calibri"/>
          <w:szCs w:val="20"/>
          <w:lang w:bidi="cs-CZ"/>
        </w:rPr>
        <w:t>ambici rozšířit své působení do oblast</w:t>
      </w:r>
      <w:r w:rsidR="001769F5" w:rsidRPr="00F36F25">
        <w:rPr>
          <w:rFonts w:eastAsia="Calibri" w:cs="Calibri"/>
          <w:szCs w:val="20"/>
          <w:lang w:bidi="cs-CZ"/>
        </w:rPr>
        <w:t>i</w:t>
      </w:r>
      <w:r w:rsidRPr="00F36F25">
        <w:rPr>
          <w:rFonts w:eastAsia="Calibri" w:cs="Calibri"/>
          <w:szCs w:val="20"/>
          <w:lang w:bidi="cs-CZ"/>
        </w:rPr>
        <w:t xml:space="preserve"> wellness. Odkazy na „PMI“ znamenají společnost Philip Morris International včetně jejích dceřiných společností</w:t>
      </w:r>
      <w:r w:rsidR="00F36F25">
        <w:rPr>
          <w:rFonts w:eastAsia="Calibri" w:cs="Calibri"/>
          <w:szCs w:val="20"/>
          <w:lang w:bidi="cs-CZ"/>
        </w:rPr>
        <w:t>.</w:t>
      </w:r>
    </w:p>
    <w:p w14:paraId="66AA4225" w14:textId="514C7575" w:rsidR="004E3027" w:rsidRPr="00F36F25" w:rsidRDefault="00A34BC6" w:rsidP="00C47F60">
      <w:pPr>
        <w:spacing w:after="0"/>
        <w:rPr>
          <w:rFonts w:eastAsia="Calibri" w:cs="Calibri"/>
          <w:szCs w:val="20"/>
          <w:lang w:bidi="cs-CZ"/>
        </w:rPr>
      </w:pPr>
      <w:r w:rsidRPr="00F36F25">
        <w:rPr>
          <w:rFonts w:eastAsia="Calibri" w:cs="Calibri"/>
          <w:szCs w:val="20"/>
          <w:lang w:bidi="cs-CZ"/>
        </w:rPr>
        <w:t xml:space="preserve">Více informací naleznete na </w:t>
      </w:r>
      <w:hyperlink r:id="rId14" w:history="1">
        <w:r w:rsidR="00AF0F70" w:rsidRPr="00E924FE">
          <w:rPr>
            <w:rStyle w:val="Hyperlink"/>
            <w:rFonts w:eastAsia="Calibri" w:cs="Calibri"/>
            <w:szCs w:val="20"/>
            <w:lang w:bidi="cs-CZ"/>
          </w:rPr>
          <w:t>www.pmi.com</w:t>
        </w:r>
      </w:hyperlink>
      <w:r w:rsidR="001769F5" w:rsidRPr="00F36F25">
        <w:rPr>
          <w:rFonts w:eastAsia="Calibri" w:cs="Calibri"/>
          <w:szCs w:val="20"/>
          <w:lang w:bidi="cs-CZ"/>
        </w:rPr>
        <w:t xml:space="preserve"> </w:t>
      </w:r>
      <w:r w:rsidRPr="00F36F25">
        <w:rPr>
          <w:rFonts w:eastAsia="Calibri" w:cs="Calibri"/>
          <w:szCs w:val="20"/>
          <w:lang w:bidi="cs-CZ"/>
        </w:rPr>
        <w:t>a</w:t>
      </w:r>
      <w:r w:rsidR="00B00433" w:rsidRPr="00F36F25">
        <w:rPr>
          <w:rFonts w:eastAsia="Calibri" w:cs="Calibri"/>
          <w:szCs w:val="20"/>
          <w:lang w:bidi="cs-CZ"/>
        </w:rPr>
        <w:t> </w:t>
      </w:r>
      <w:hyperlink r:id="rId15" w:history="1">
        <w:r w:rsidR="00AF0F70" w:rsidRPr="00E924FE">
          <w:rPr>
            <w:rStyle w:val="Hyperlink"/>
            <w:rFonts w:eastAsia="Calibri" w:cs="Calibri"/>
            <w:szCs w:val="20"/>
            <w:lang w:bidi="cs-CZ"/>
          </w:rPr>
          <w:t>www.pmiscience.com</w:t>
        </w:r>
      </w:hyperlink>
      <w:r w:rsidR="00E6303C" w:rsidRPr="00F36F25">
        <w:rPr>
          <w:rFonts w:eastAsia="Calibri" w:cs="Calibri"/>
          <w:szCs w:val="20"/>
          <w:lang w:bidi="cs-CZ"/>
        </w:rPr>
        <w:t>.</w:t>
      </w:r>
    </w:p>
    <w:p w14:paraId="07506EBA" w14:textId="70CF4618" w:rsidR="00003985" w:rsidRPr="0018079C" w:rsidRDefault="00003985" w:rsidP="00A34BC6">
      <w:pPr>
        <w:rPr>
          <w:rFonts w:cs="Calibri"/>
          <w:sz w:val="16"/>
          <w:szCs w:val="16"/>
          <w:lang w:bidi="cs-CZ"/>
        </w:rPr>
      </w:pPr>
    </w:p>
    <w:sectPr w:rsidR="00003985" w:rsidRPr="0018079C" w:rsidSect="00F36F25">
      <w:headerReference w:type="default" r:id="rId16"/>
      <w:footerReference w:type="default" r:id="rId17"/>
      <w:pgSz w:w="12240" w:h="15840"/>
      <w:pgMar w:top="2127" w:right="1080" w:bottom="1418" w:left="1080" w:header="706" w:footer="45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739FD" w14:textId="77777777" w:rsidR="0082434A" w:rsidRDefault="0082434A" w:rsidP="004C5AB1">
      <w:r>
        <w:separator/>
      </w:r>
    </w:p>
  </w:endnote>
  <w:endnote w:type="continuationSeparator" w:id="0">
    <w:p w14:paraId="1189E3BB" w14:textId="77777777" w:rsidR="0082434A" w:rsidRDefault="0082434A" w:rsidP="004C5AB1">
      <w:r>
        <w:continuationSeparator/>
      </w:r>
    </w:p>
  </w:endnote>
  <w:endnote w:type="continuationNotice" w:id="1">
    <w:p w14:paraId="72606783" w14:textId="77777777" w:rsidR="0082434A" w:rsidRDefault="008243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Songti SC">
    <w:altName w:val="Microsoft YaHei"/>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D7156" w14:textId="25EF388C" w:rsidR="004E27E0" w:rsidRPr="009535D8" w:rsidRDefault="00F36F25" w:rsidP="00F36F25">
    <w:pPr>
      <w:pStyle w:val="Footer"/>
      <w:tabs>
        <w:tab w:val="left" w:pos="3742"/>
        <w:tab w:val="left" w:pos="5925"/>
      </w:tabs>
      <w:spacing w:after="0"/>
      <w:ind w:left="1531"/>
      <w:rPr>
        <w:spacing w:val="2"/>
        <w:sz w:val="13"/>
        <w:szCs w:val="13"/>
      </w:rPr>
    </w:pPr>
    <w:r>
      <w:rPr>
        <w:rFonts w:hint="eastAsia"/>
        <w:noProof/>
      </w:rPr>
      <mc:AlternateContent>
        <mc:Choice Requires="wps">
          <w:drawing>
            <wp:anchor distT="0" distB="0" distL="114299" distR="114299" simplePos="0" relativeHeight="251658243" behindDoc="0" locked="0" layoutInCell="1" allowOverlap="1" wp14:anchorId="29BA966C" wp14:editId="669708B7">
              <wp:simplePos x="0" y="0"/>
              <wp:positionH relativeFrom="column">
                <wp:posOffset>4756208</wp:posOffset>
              </wp:positionH>
              <wp:positionV relativeFrom="paragraph">
                <wp:posOffset>-42545</wp:posOffset>
              </wp:positionV>
              <wp:extent cx="0" cy="575945"/>
              <wp:effectExtent l="0" t="0" r="38100" b="33655"/>
              <wp:wrapNone/>
              <wp:docPr id="27987359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5945"/>
                      </a:xfrm>
                      <a:prstGeom prst="line">
                        <a:avLst/>
                      </a:prstGeom>
                      <a:noFill/>
                      <a:ln w="952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05AAA1A" id="Straight Connector 3" o:spid="_x0000_s1026" style="position:absolute;z-index:251658243;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4.5pt,-3.35pt" to="37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" strokecolor="silver"/>
          </w:pict>
        </mc:Fallback>
      </mc:AlternateContent>
    </w:r>
    <w:r w:rsidR="00003985">
      <w:rPr>
        <w:rFonts w:hint="eastAsia"/>
        <w:noProof/>
      </w:rPr>
      <mc:AlternateContent>
        <mc:Choice Requires="wps">
          <w:drawing>
            <wp:anchor distT="0" distB="0" distL="114299" distR="114299" simplePos="0" relativeHeight="251658241" behindDoc="0" locked="0" layoutInCell="1" allowOverlap="1" wp14:anchorId="2A044709" wp14:editId="104CB6A5">
              <wp:simplePos x="0" y="0"/>
              <wp:positionH relativeFrom="column">
                <wp:posOffset>2223135</wp:posOffset>
              </wp:positionH>
              <wp:positionV relativeFrom="paragraph">
                <wp:posOffset>-41910</wp:posOffset>
              </wp:positionV>
              <wp:extent cx="0" cy="576000"/>
              <wp:effectExtent l="0" t="0" r="38100" b="33655"/>
              <wp:wrapNone/>
              <wp:docPr id="76205570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6000"/>
                      </a:xfrm>
                      <a:prstGeom prst="line">
                        <a:avLst/>
                      </a:prstGeom>
                      <a:noFill/>
                      <a:ln w="952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B2BE56" id="Straight Connector 7" o:spid="_x0000_s1026" style="position:absolute;z-index:25165824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5.05pt,-3.3pt" to="175.05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" strokecolor="silver"/>
          </w:pict>
        </mc:Fallback>
      </mc:AlternateContent>
    </w:r>
    <w:r w:rsidR="00003985">
      <w:rPr>
        <w:rFonts w:hint="eastAsia"/>
        <w:noProof/>
      </w:rPr>
      <mc:AlternateContent>
        <mc:Choice Requires="wps">
          <w:drawing>
            <wp:anchor distT="0" distB="0" distL="114299" distR="114299" simplePos="0" relativeHeight="251658240" behindDoc="0" locked="0" layoutInCell="1" allowOverlap="1" wp14:anchorId="0125FF2A" wp14:editId="65592521">
              <wp:simplePos x="0" y="0"/>
              <wp:positionH relativeFrom="column">
                <wp:posOffset>834390</wp:posOffset>
              </wp:positionH>
              <wp:positionV relativeFrom="paragraph">
                <wp:posOffset>-42545</wp:posOffset>
              </wp:positionV>
              <wp:extent cx="0" cy="576000"/>
              <wp:effectExtent l="0" t="0" r="38100" b="33655"/>
              <wp:wrapNone/>
              <wp:docPr id="30748070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6000"/>
                      </a:xfrm>
                      <a:prstGeom prst="line">
                        <a:avLst/>
                      </a:prstGeom>
                      <a:noFill/>
                      <a:ln w="952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A267ADB" id="Straight Connector 5"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5.7pt,-3.35pt" to="65.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" strokecolor="silver"/>
          </w:pict>
        </mc:Fallback>
      </mc:AlternateContent>
    </w:r>
    <w:r w:rsidR="00003985">
      <w:rPr>
        <w:rFonts w:hint="eastAsia"/>
        <w:noProof/>
      </w:rPr>
      <mc:AlternateContent>
        <mc:Choice Requires="wps">
          <w:drawing>
            <wp:anchor distT="0" distB="0" distL="114299" distR="114299" simplePos="0" relativeHeight="251658242" behindDoc="0" locked="0" layoutInCell="1" allowOverlap="1" wp14:anchorId="76296E7F" wp14:editId="4AC23BD2">
              <wp:simplePos x="0" y="0"/>
              <wp:positionH relativeFrom="column">
                <wp:posOffset>3608070</wp:posOffset>
              </wp:positionH>
              <wp:positionV relativeFrom="paragraph">
                <wp:posOffset>-47625</wp:posOffset>
              </wp:positionV>
              <wp:extent cx="0" cy="576000"/>
              <wp:effectExtent l="0" t="0" r="38100" b="33655"/>
              <wp:wrapNone/>
              <wp:docPr id="58580821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6000"/>
                      </a:xfrm>
                      <a:prstGeom prst="line">
                        <a:avLst/>
                      </a:prstGeom>
                      <a:noFill/>
                      <a:ln w="952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4D41A03" id="Straight Connector 1" o:spid="_x0000_s1026" style="position:absolute;z-index:25165824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4.1pt,-3.75pt" to="284.1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" strokecolor="silver"/>
          </w:pict>
        </mc:Fallback>
      </mc:AlternateContent>
    </w:r>
    <w:r w:rsidR="004E27E0" w:rsidRPr="001D0916">
      <w:rPr>
        <w:b/>
        <w:spacing w:val="2"/>
        <w:sz w:val="13"/>
        <w:szCs w:val="13"/>
      </w:rPr>
      <w:t>Philip Morris ČR a.s.</w:t>
    </w:r>
    <w:r w:rsidR="004E27E0" w:rsidRPr="009535D8">
      <w:rPr>
        <w:spacing w:val="2"/>
        <w:sz w:val="13"/>
        <w:szCs w:val="13"/>
      </w:rPr>
      <w:tab/>
      <w:t>IČ: 14803534</w:t>
    </w:r>
    <w:r w:rsidR="004E27E0">
      <w:rPr>
        <w:spacing w:val="2"/>
        <w:sz w:val="13"/>
        <w:szCs w:val="13"/>
      </w:rPr>
      <w:tab/>
    </w:r>
    <w:r w:rsidR="004E27E0" w:rsidRPr="009535D8">
      <w:rPr>
        <w:spacing w:val="2"/>
        <w:sz w:val="13"/>
        <w:szCs w:val="13"/>
      </w:rPr>
      <w:tab/>
      <w:t>kontaktní adresa:</w:t>
    </w:r>
  </w:p>
  <w:p w14:paraId="6F61CB0D" w14:textId="77777777" w:rsidR="004E27E0" w:rsidRPr="009535D8" w:rsidRDefault="004E27E0" w:rsidP="00F36F25">
    <w:pPr>
      <w:pStyle w:val="Footer"/>
      <w:tabs>
        <w:tab w:val="left" w:pos="3742"/>
        <w:tab w:val="left" w:pos="5925"/>
      </w:tabs>
      <w:spacing w:after="0"/>
      <w:ind w:left="1531"/>
      <w:rPr>
        <w:spacing w:val="2"/>
        <w:sz w:val="13"/>
        <w:szCs w:val="13"/>
      </w:rPr>
    </w:pPr>
    <w:r w:rsidRPr="009535D8">
      <w:rPr>
        <w:spacing w:val="2"/>
        <w:sz w:val="13"/>
        <w:szCs w:val="13"/>
      </w:rPr>
      <w:t>Sídlo: Kutná Hora</w:t>
    </w:r>
    <w:r w:rsidRPr="009535D8">
      <w:rPr>
        <w:spacing w:val="2"/>
        <w:sz w:val="13"/>
        <w:szCs w:val="13"/>
      </w:rPr>
      <w:tab/>
      <w:t>DIČ: CZ 14803534</w:t>
    </w:r>
    <w:r w:rsidRPr="009535D8">
      <w:rPr>
        <w:spacing w:val="2"/>
        <w:sz w:val="13"/>
        <w:szCs w:val="13"/>
      </w:rPr>
      <w:tab/>
      <w:t>Karlovo náměstí 10</w:t>
    </w:r>
  </w:p>
  <w:p w14:paraId="15B7B79F" w14:textId="77777777" w:rsidR="004E27E0" w:rsidRPr="009535D8" w:rsidRDefault="004E27E0" w:rsidP="00F36F25">
    <w:pPr>
      <w:pStyle w:val="Footer"/>
      <w:tabs>
        <w:tab w:val="left" w:pos="3742"/>
        <w:tab w:val="left" w:pos="5925"/>
      </w:tabs>
      <w:spacing w:after="0"/>
      <w:ind w:left="1531"/>
      <w:rPr>
        <w:spacing w:val="2"/>
        <w:sz w:val="13"/>
        <w:szCs w:val="13"/>
      </w:rPr>
    </w:pPr>
    <w:r w:rsidRPr="009535D8">
      <w:rPr>
        <w:spacing w:val="2"/>
        <w:sz w:val="13"/>
        <w:szCs w:val="13"/>
      </w:rPr>
      <w:t>Vítězná 1</w:t>
    </w:r>
    <w:r w:rsidRPr="009535D8">
      <w:rPr>
        <w:spacing w:val="2"/>
        <w:sz w:val="13"/>
        <w:szCs w:val="13"/>
      </w:rPr>
      <w:tab/>
      <w:t>zapsaná v obchodním rejstříku</w:t>
    </w:r>
    <w:r w:rsidRPr="009535D8">
      <w:rPr>
        <w:spacing w:val="2"/>
        <w:sz w:val="13"/>
        <w:szCs w:val="13"/>
      </w:rPr>
      <w:tab/>
      <w:t>120 00 Praha</w:t>
    </w:r>
  </w:p>
  <w:p w14:paraId="440C1904" w14:textId="12788196" w:rsidR="004E27E0" w:rsidRPr="009535D8" w:rsidRDefault="004E27E0" w:rsidP="00F36F25">
    <w:pPr>
      <w:pStyle w:val="Footer"/>
      <w:tabs>
        <w:tab w:val="left" w:pos="3742"/>
        <w:tab w:val="left" w:pos="5925"/>
      </w:tabs>
      <w:spacing w:after="0"/>
      <w:ind w:left="1531"/>
      <w:rPr>
        <w:spacing w:val="2"/>
        <w:sz w:val="13"/>
        <w:szCs w:val="13"/>
      </w:rPr>
    </w:pPr>
    <w:r w:rsidRPr="009535D8">
      <w:rPr>
        <w:spacing w:val="2"/>
        <w:sz w:val="13"/>
        <w:szCs w:val="13"/>
      </w:rPr>
      <w:t>PSČ 284 03</w:t>
    </w:r>
    <w:r w:rsidRPr="009535D8">
      <w:rPr>
        <w:spacing w:val="2"/>
        <w:sz w:val="13"/>
        <w:szCs w:val="13"/>
      </w:rPr>
      <w:tab/>
      <w:t>vedeném Městským soudem</w:t>
    </w:r>
    <w:r w:rsidRPr="009535D8">
      <w:rPr>
        <w:spacing w:val="2"/>
        <w:sz w:val="13"/>
        <w:szCs w:val="13"/>
      </w:rPr>
      <w:tab/>
      <w:t xml:space="preserve">Tel.: (+420) </w:t>
    </w:r>
    <w:r w:rsidR="00427A87">
      <w:rPr>
        <w:spacing w:val="2"/>
        <w:sz w:val="13"/>
        <w:szCs w:val="13"/>
      </w:rPr>
      <w:t>227 080 300</w:t>
    </w:r>
  </w:p>
  <w:p w14:paraId="1F288885" w14:textId="77777777" w:rsidR="004E27E0" w:rsidRPr="004E27E0" w:rsidRDefault="004E27E0" w:rsidP="00F36F25">
    <w:pPr>
      <w:pStyle w:val="Footer"/>
      <w:tabs>
        <w:tab w:val="left" w:pos="3742"/>
        <w:tab w:val="left" w:pos="5925"/>
      </w:tabs>
      <w:spacing w:after="0"/>
      <w:ind w:left="1531"/>
      <w:rPr>
        <w:spacing w:val="2"/>
        <w:sz w:val="13"/>
        <w:szCs w:val="13"/>
      </w:rPr>
    </w:pPr>
    <w:r w:rsidRPr="009535D8">
      <w:rPr>
        <w:spacing w:val="2"/>
        <w:sz w:val="13"/>
        <w:szCs w:val="13"/>
      </w:rPr>
      <w:t>Česká republika</w:t>
    </w:r>
    <w:r w:rsidRPr="009535D8">
      <w:rPr>
        <w:spacing w:val="2"/>
        <w:sz w:val="13"/>
        <w:szCs w:val="13"/>
      </w:rPr>
      <w:tab/>
      <w:t>v Praze, odd. B, vložka 627</w:t>
    </w:r>
    <w:r w:rsidRPr="009535D8">
      <w:rPr>
        <w:spacing w:val="2"/>
        <w:sz w:val="13"/>
        <w:szCs w:val="13"/>
      </w:rPr>
      <w:tab/>
      <w:t>www.philipmorris.cz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1FBE4" w14:textId="77777777" w:rsidR="0082434A" w:rsidRDefault="0082434A" w:rsidP="004C5AB1">
      <w:r>
        <w:separator/>
      </w:r>
    </w:p>
  </w:footnote>
  <w:footnote w:type="continuationSeparator" w:id="0">
    <w:p w14:paraId="639DA19A" w14:textId="77777777" w:rsidR="0082434A" w:rsidRDefault="0082434A" w:rsidP="004C5AB1">
      <w:r>
        <w:continuationSeparator/>
      </w:r>
    </w:p>
  </w:footnote>
  <w:footnote w:type="continuationNotice" w:id="1">
    <w:p w14:paraId="04B573C9" w14:textId="77777777" w:rsidR="0082434A" w:rsidRDefault="0082434A"/>
  </w:footnote>
  <w:footnote w:id="2">
    <w:p w14:paraId="42BA8CF3" w14:textId="5DFE0FD1" w:rsidR="004E0CEF" w:rsidRPr="00F36F25" w:rsidRDefault="00C7000C" w:rsidP="00F36F25">
      <w:pPr>
        <w:spacing w:after="0"/>
        <w:rPr>
          <w:rFonts w:eastAsia="Calibri" w:cs="Calibri"/>
          <w:iCs/>
          <w:sz w:val="18"/>
          <w:szCs w:val="18"/>
          <w:lang w:bidi="cs-CZ"/>
        </w:rPr>
      </w:pPr>
      <w:r w:rsidRPr="00F36F25">
        <w:rPr>
          <w:rStyle w:val="FootnoteReference"/>
          <w:rFonts w:cs="Calibri"/>
          <w:sz w:val="14"/>
          <w:szCs w:val="14"/>
          <w:lang w:bidi="cs-CZ"/>
        </w:rPr>
        <w:footnoteRef/>
      </w:r>
      <w:r w:rsidR="00E61F2E" w:rsidRPr="00F36F25">
        <w:rPr>
          <w:rFonts w:cs="Calibri"/>
          <w:sz w:val="14"/>
          <w:szCs w:val="14"/>
          <w:lang w:bidi="cs-CZ"/>
        </w:rPr>
        <w:t xml:space="preserve"> </w:t>
      </w:r>
      <w:r w:rsidR="00E97BEA">
        <w:rPr>
          <w:rFonts w:cs="Calibri"/>
          <w:iCs/>
          <w:sz w:val="14"/>
          <w:szCs w:val="14"/>
          <w:lang w:bidi="cs-CZ"/>
        </w:rPr>
        <w:t>P</w:t>
      </w:r>
      <w:r w:rsidR="00E61F2E" w:rsidRPr="00F36F25">
        <w:rPr>
          <w:rFonts w:cs="Calibri"/>
          <w:iCs/>
          <w:sz w:val="14"/>
          <w:szCs w:val="14"/>
          <w:lang w:bidi="cs-CZ"/>
        </w:rPr>
        <w:t xml:space="preserve">ředstavuje průměrné snížení hladin 9 chemických látek doporučených Světovou zdravotnickou organizací ke snížení v cigaretovém kouři. </w:t>
      </w:r>
    </w:p>
  </w:footnote>
  <w:footnote w:id="3">
    <w:p w14:paraId="01458DB3" w14:textId="276E37D0" w:rsidR="00C23870" w:rsidRPr="00F36F25" w:rsidRDefault="00C7000C" w:rsidP="00F36F25">
      <w:pPr>
        <w:spacing w:after="0"/>
        <w:rPr>
          <w:rFonts w:cs="Calibri"/>
          <w:sz w:val="14"/>
          <w:szCs w:val="14"/>
          <w:lang w:bidi="cs-CZ"/>
        </w:rPr>
      </w:pPr>
      <w:r w:rsidRPr="00F36F25">
        <w:rPr>
          <w:rStyle w:val="FootnoteReference"/>
          <w:rFonts w:cs="Calibri"/>
          <w:sz w:val="14"/>
          <w:szCs w:val="14"/>
          <w:lang w:bidi="cs-CZ"/>
        </w:rPr>
        <w:footnoteRef/>
      </w:r>
      <w:r w:rsidR="001A0BD7" w:rsidRPr="00F36F25">
        <w:rPr>
          <w:rFonts w:cs="Calibri"/>
          <w:sz w:val="14"/>
          <w:szCs w:val="14"/>
          <w:lang w:bidi="cs-CZ"/>
        </w:rPr>
        <w:t xml:space="preserve"> Důležité informace: </w:t>
      </w:r>
      <w:r w:rsidRPr="00F36F25">
        <w:rPr>
          <w:rFonts w:cs="Calibri"/>
          <w:i/>
          <w:iCs/>
          <w:sz w:val="14"/>
          <w:szCs w:val="14"/>
          <w:lang w:bidi="cs-CZ"/>
        </w:rPr>
        <w:t>BONDS</w:t>
      </w:r>
      <w:r w:rsidR="00C23870" w:rsidRPr="00F36F25">
        <w:rPr>
          <w:rFonts w:cs="Calibri"/>
          <w:i/>
          <w:iCs/>
          <w:sz w:val="14"/>
          <w:szCs w:val="14"/>
          <w:lang w:bidi="cs-CZ"/>
        </w:rPr>
        <w:t xml:space="preserve"> 2</w:t>
      </w:r>
      <w:r w:rsidRPr="00F36F25">
        <w:rPr>
          <w:rFonts w:cs="Calibri"/>
          <w:i/>
          <w:iCs/>
          <w:sz w:val="14"/>
          <w:szCs w:val="14"/>
          <w:lang w:bidi="cs-CZ"/>
        </w:rPr>
        <w:t xml:space="preserve"> by </w:t>
      </w:r>
      <w:r w:rsidR="001A0BD7" w:rsidRPr="00F36F25">
        <w:rPr>
          <w:rFonts w:cs="Calibri"/>
          <w:i/>
          <w:iCs/>
          <w:sz w:val="14"/>
          <w:szCs w:val="14"/>
          <w:lang w:bidi="cs-CZ"/>
        </w:rPr>
        <w:t>IQOS</w:t>
      </w:r>
      <w:r w:rsidR="001A0BD7" w:rsidRPr="00F36F25">
        <w:rPr>
          <w:rFonts w:cs="Calibri"/>
          <w:i/>
          <w:sz w:val="14"/>
          <w:szCs w:val="14"/>
          <w:lang w:bidi="cs-CZ"/>
        </w:rPr>
        <w:t xml:space="preserve"> </w:t>
      </w:r>
      <w:r w:rsidR="001A0BD7" w:rsidRPr="00F36F25">
        <w:rPr>
          <w:rFonts w:cs="Calibri"/>
          <w:sz w:val="14"/>
          <w:szCs w:val="14"/>
          <w:lang w:bidi="cs-CZ"/>
        </w:rPr>
        <w:t>není bez rizika a obsahuje nikotin, který je návykový. Určeno pouze pro dospělé osoby.</w:t>
      </w:r>
    </w:p>
  </w:footnote>
  <w:footnote w:id="4">
    <w:p w14:paraId="7C53FF0E" w14:textId="3C8DF668" w:rsidR="005C25EA" w:rsidRPr="00F36F25" w:rsidRDefault="005C25EA" w:rsidP="00F36F25">
      <w:pPr>
        <w:spacing w:after="0"/>
        <w:rPr>
          <w:rFonts w:asciiTheme="minorHAnsi" w:hAnsiTheme="minorHAnsi" w:cstheme="minorHAnsi"/>
          <w:sz w:val="14"/>
          <w:szCs w:val="14"/>
          <w:lang w:bidi="cs-CZ"/>
        </w:rPr>
      </w:pPr>
      <w:r w:rsidRPr="00F36F25">
        <w:rPr>
          <w:rStyle w:val="FootnoteReference"/>
          <w:rFonts w:asciiTheme="minorHAnsi" w:hAnsiTheme="minorHAnsi" w:cstheme="minorHAnsi"/>
          <w:sz w:val="14"/>
          <w:szCs w:val="14"/>
        </w:rPr>
        <w:footnoteRef/>
      </w:r>
      <w:r w:rsidRPr="00F36F25">
        <w:rPr>
          <w:rFonts w:asciiTheme="minorHAnsi" w:hAnsiTheme="minorHAnsi" w:cstheme="minorHAnsi"/>
          <w:sz w:val="14"/>
          <w:szCs w:val="14"/>
        </w:rPr>
        <w:t xml:space="preserve"> </w:t>
      </w:r>
      <w:r w:rsidR="00B35D3F" w:rsidRPr="00F36F25">
        <w:rPr>
          <w:rFonts w:asciiTheme="minorHAnsi" w:hAnsiTheme="minorHAnsi" w:cstheme="minorHAnsi"/>
          <w:sz w:val="14"/>
          <w:szCs w:val="14"/>
          <w:lang w:bidi="cs-CZ"/>
        </w:rPr>
        <w:t>Zdroj: PMI Q1 2026 Finanční výsledky</w:t>
      </w:r>
    </w:p>
  </w:footnote>
  <w:footnote w:id="5">
    <w:p w14:paraId="08171B72" w14:textId="0A99CBA6" w:rsidR="00B35D3F" w:rsidRPr="00F36F25" w:rsidRDefault="00B35D3F" w:rsidP="00F36F25">
      <w:pPr>
        <w:rPr>
          <w:rFonts w:asciiTheme="minorHAnsi" w:hAnsiTheme="minorHAnsi" w:cstheme="minorHAnsi"/>
          <w:sz w:val="16"/>
          <w:szCs w:val="16"/>
          <w:lang w:bidi="cs-CZ"/>
        </w:rPr>
      </w:pPr>
      <w:r w:rsidRPr="00F36F25">
        <w:rPr>
          <w:rStyle w:val="FootnoteReference"/>
          <w:rFonts w:asciiTheme="minorHAnsi" w:hAnsiTheme="minorHAnsi" w:cstheme="minorHAnsi"/>
          <w:sz w:val="14"/>
          <w:szCs w:val="14"/>
        </w:rPr>
        <w:footnoteRef/>
      </w:r>
      <w:r w:rsidRPr="00F36F25">
        <w:rPr>
          <w:rFonts w:asciiTheme="minorHAnsi" w:hAnsiTheme="minorHAnsi" w:cstheme="minorHAnsi"/>
          <w:sz w:val="14"/>
          <w:szCs w:val="14"/>
        </w:rPr>
        <w:t xml:space="preserve"> </w:t>
      </w:r>
      <w:r w:rsidRPr="00F36F25">
        <w:rPr>
          <w:rFonts w:asciiTheme="minorHAnsi" w:hAnsiTheme="minorHAnsi" w:cstheme="minorHAnsi"/>
          <w:sz w:val="14"/>
          <w:szCs w:val="14"/>
          <w:lang w:bidi="cs-CZ"/>
        </w:rPr>
        <w:t>Zdroj: PMI Value Report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1995D" w14:textId="66D65885" w:rsidR="00C1499B" w:rsidRDefault="00003985" w:rsidP="00C1499B">
    <w:pPr>
      <w:pStyle w:val="Header"/>
      <w:jc w:val="center"/>
    </w:pPr>
    <w:r>
      <w:rPr>
        <w:noProof/>
      </w:rPr>
      <w:drawing>
        <wp:inline distT="0" distB="0" distL="0" distR="0" wp14:anchorId="00286DAD" wp14:editId="566972A7">
          <wp:extent cx="2736273" cy="559199"/>
          <wp:effectExtent l="0" t="0" r="6985" b="0"/>
          <wp:docPr id="114615823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6168" cy="5632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60161"/>
    <w:multiLevelType w:val="hybridMultilevel"/>
    <w:tmpl w:val="B5E0FA04"/>
    <w:lvl w:ilvl="0" w:tplc="5318503E">
      <w:start w:val="5"/>
      <w:numFmt w:val="bullet"/>
      <w:lvlText w:val="-"/>
      <w:lvlJc w:val="left"/>
      <w:pPr>
        <w:ind w:left="720" w:hanging="360"/>
      </w:pPr>
      <w:rPr>
        <w:rFonts w:ascii="Calibri" w:eastAsia="Songti S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9568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D18"/>
    <w:rsid w:val="00000728"/>
    <w:rsid w:val="00002A4F"/>
    <w:rsid w:val="00003985"/>
    <w:rsid w:val="00005CC1"/>
    <w:rsid w:val="00010B01"/>
    <w:rsid w:val="00012EFC"/>
    <w:rsid w:val="00015704"/>
    <w:rsid w:val="00015AAC"/>
    <w:rsid w:val="00016020"/>
    <w:rsid w:val="0001723E"/>
    <w:rsid w:val="00017C08"/>
    <w:rsid w:val="00022906"/>
    <w:rsid w:val="00032991"/>
    <w:rsid w:val="00035913"/>
    <w:rsid w:val="000539EA"/>
    <w:rsid w:val="0006393D"/>
    <w:rsid w:val="000662C7"/>
    <w:rsid w:val="00067FAF"/>
    <w:rsid w:val="00073EC8"/>
    <w:rsid w:val="000827CB"/>
    <w:rsid w:val="00085228"/>
    <w:rsid w:val="000859FC"/>
    <w:rsid w:val="00086E73"/>
    <w:rsid w:val="000934C5"/>
    <w:rsid w:val="000B0A7E"/>
    <w:rsid w:val="000B2971"/>
    <w:rsid w:val="000B2CC7"/>
    <w:rsid w:val="000B4626"/>
    <w:rsid w:val="000B63EE"/>
    <w:rsid w:val="000D2841"/>
    <w:rsid w:val="000E30BC"/>
    <w:rsid w:val="000E3B0D"/>
    <w:rsid w:val="000E53F7"/>
    <w:rsid w:val="000E71A9"/>
    <w:rsid w:val="000F0490"/>
    <w:rsid w:val="000F51EA"/>
    <w:rsid w:val="000F5851"/>
    <w:rsid w:val="000F5C39"/>
    <w:rsid w:val="000F6FAA"/>
    <w:rsid w:val="00103A7C"/>
    <w:rsid w:val="00104E73"/>
    <w:rsid w:val="001111BF"/>
    <w:rsid w:val="001164CA"/>
    <w:rsid w:val="00123A63"/>
    <w:rsid w:val="00124928"/>
    <w:rsid w:val="00124A9A"/>
    <w:rsid w:val="00125BB1"/>
    <w:rsid w:val="00130F41"/>
    <w:rsid w:val="00132AF7"/>
    <w:rsid w:val="001331EE"/>
    <w:rsid w:val="001354A4"/>
    <w:rsid w:val="0014658D"/>
    <w:rsid w:val="001501C8"/>
    <w:rsid w:val="00155F74"/>
    <w:rsid w:val="001624E6"/>
    <w:rsid w:val="00166647"/>
    <w:rsid w:val="00167E3B"/>
    <w:rsid w:val="00171E3D"/>
    <w:rsid w:val="001763CF"/>
    <w:rsid w:val="001769F5"/>
    <w:rsid w:val="0018079C"/>
    <w:rsid w:val="00184A90"/>
    <w:rsid w:val="0018552C"/>
    <w:rsid w:val="00190861"/>
    <w:rsid w:val="00191EC4"/>
    <w:rsid w:val="00197C87"/>
    <w:rsid w:val="001A0BD7"/>
    <w:rsid w:val="001A3221"/>
    <w:rsid w:val="001B0A29"/>
    <w:rsid w:val="001B35EF"/>
    <w:rsid w:val="001B7746"/>
    <w:rsid w:val="001C1710"/>
    <w:rsid w:val="001C1877"/>
    <w:rsid w:val="001C3FD6"/>
    <w:rsid w:val="001D1503"/>
    <w:rsid w:val="001D5505"/>
    <w:rsid w:val="001D606E"/>
    <w:rsid w:val="001E2FBB"/>
    <w:rsid w:val="001F00F5"/>
    <w:rsid w:val="001F0596"/>
    <w:rsid w:val="00206CED"/>
    <w:rsid w:val="00206E13"/>
    <w:rsid w:val="00215AAE"/>
    <w:rsid w:val="002215E1"/>
    <w:rsid w:val="00221F0A"/>
    <w:rsid w:val="002260DA"/>
    <w:rsid w:val="002276BD"/>
    <w:rsid w:val="00230E0D"/>
    <w:rsid w:val="0023206B"/>
    <w:rsid w:val="002332F8"/>
    <w:rsid w:val="002335AA"/>
    <w:rsid w:val="002351B6"/>
    <w:rsid w:val="00235B34"/>
    <w:rsid w:val="00236C0F"/>
    <w:rsid w:val="0023704B"/>
    <w:rsid w:val="0024004A"/>
    <w:rsid w:val="00242C9A"/>
    <w:rsid w:val="0024667C"/>
    <w:rsid w:val="00247277"/>
    <w:rsid w:val="00252A19"/>
    <w:rsid w:val="00255C6E"/>
    <w:rsid w:val="002560EB"/>
    <w:rsid w:val="0025683D"/>
    <w:rsid w:val="00261162"/>
    <w:rsid w:val="00262636"/>
    <w:rsid w:val="00271DC5"/>
    <w:rsid w:val="002720BB"/>
    <w:rsid w:val="00272FE9"/>
    <w:rsid w:val="002760C4"/>
    <w:rsid w:val="00287356"/>
    <w:rsid w:val="0029686B"/>
    <w:rsid w:val="00297CDE"/>
    <w:rsid w:val="002A124C"/>
    <w:rsid w:val="002A1F05"/>
    <w:rsid w:val="002C3B34"/>
    <w:rsid w:val="002C5A3A"/>
    <w:rsid w:val="002D0ADD"/>
    <w:rsid w:val="002D0E85"/>
    <w:rsid w:val="002D16E2"/>
    <w:rsid w:val="002D36A5"/>
    <w:rsid w:val="002D48D5"/>
    <w:rsid w:val="002D5F42"/>
    <w:rsid w:val="002D634B"/>
    <w:rsid w:val="002E153B"/>
    <w:rsid w:val="002E1646"/>
    <w:rsid w:val="002E59D4"/>
    <w:rsid w:val="002E7574"/>
    <w:rsid w:val="002E79F0"/>
    <w:rsid w:val="002F6F32"/>
    <w:rsid w:val="00300B25"/>
    <w:rsid w:val="0032127B"/>
    <w:rsid w:val="00322916"/>
    <w:rsid w:val="0032414C"/>
    <w:rsid w:val="00327596"/>
    <w:rsid w:val="00331868"/>
    <w:rsid w:val="00334309"/>
    <w:rsid w:val="00336BDB"/>
    <w:rsid w:val="00337178"/>
    <w:rsid w:val="00337978"/>
    <w:rsid w:val="00344473"/>
    <w:rsid w:val="00347169"/>
    <w:rsid w:val="00351B0F"/>
    <w:rsid w:val="0035689A"/>
    <w:rsid w:val="00357406"/>
    <w:rsid w:val="0035740C"/>
    <w:rsid w:val="00363BED"/>
    <w:rsid w:val="00365C2A"/>
    <w:rsid w:val="00366CA2"/>
    <w:rsid w:val="00372CA2"/>
    <w:rsid w:val="003736E9"/>
    <w:rsid w:val="00374262"/>
    <w:rsid w:val="003765DC"/>
    <w:rsid w:val="0038581E"/>
    <w:rsid w:val="003871E1"/>
    <w:rsid w:val="0039028A"/>
    <w:rsid w:val="0039058B"/>
    <w:rsid w:val="003A0C1F"/>
    <w:rsid w:val="003A102C"/>
    <w:rsid w:val="003A670D"/>
    <w:rsid w:val="003B60DD"/>
    <w:rsid w:val="003B7861"/>
    <w:rsid w:val="003C37EB"/>
    <w:rsid w:val="003C38C5"/>
    <w:rsid w:val="003C66E7"/>
    <w:rsid w:val="003D42CF"/>
    <w:rsid w:val="003D7FF6"/>
    <w:rsid w:val="003E0612"/>
    <w:rsid w:val="003F345F"/>
    <w:rsid w:val="003F40BC"/>
    <w:rsid w:val="003F644E"/>
    <w:rsid w:val="00410AA0"/>
    <w:rsid w:val="00411581"/>
    <w:rsid w:val="00411B27"/>
    <w:rsid w:val="00425588"/>
    <w:rsid w:val="00427A87"/>
    <w:rsid w:val="0043293F"/>
    <w:rsid w:val="0043448E"/>
    <w:rsid w:val="00442738"/>
    <w:rsid w:val="00443830"/>
    <w:rsid w:val="00450A74"/>
    <w:rsid w:val="00461172"/>
    <w:rsid w:val="004624D9"/>
    <w:rsid w:val="00465C6C"/>
    <w:rsid w:val="004667B0"/>
    <w:rsid w:val="00472803"/>
    <w:rsid w:val="00485501"/>
    <w:rsid w:val="00486036"/>
    <w:rsid w:val="004928E6"/>
    <w:rsid w:val="00492A44"/>
    <w:rsid w:val="00494B31"/>
    <w:rsid w:val="004A04B0"/>
    <w:rsid w:val="004A0FB1"/>
    <w:rsid w:val="004A5C7F"/>
    <w:rsid w:val="004A677A"/>
    <w:rsid w:val="004B2360"/>
    <w:rsid w:val="004B3A32"/>
    <w:rsid w:val="004C310E"/>
    <w:rsid w:val="004C51AD"/>
    <w:rsid w:val="004C5AB1"/>
    <w:rsid w:val="004C7947"/>
    <w:rsid w:val="004D1B93"/>
    <w:rsid w:val="004D5DA8"/>
    <w:rsid w:val="004E0CEF"/>
    <w:rsid w:val="004E0FAD"/>
    <w:rsid w:val="004E114C"/>
    <w:rsid w:val="004E1A1C"/>
    <w:rsid w:val="004E27E0"/>
    <w:rsid w:val="004E2D1F"/>
    <w:rsid w:val="004E3027"/>
    <w:rsid w:val="004E5206"/>
    <w:rsid w:val="004E671F"/>
    <w:rsid w:val="004F0147"/>
    <w:rsid w:val="004F5EFB"/>
    <w:rsid w:val="00500CEA"/>
    <w:rsid w:val="00500F23"/>
    <w:rsid w:val="00503B3A"/>
    <w:rsid w:val="00506478"/>
    <w:rsid w:val="00511FB9"/>
    <w:rsid w:val="00513F42"/>
    <w:rsid w:val="005148F8"/>
    <w:rsid w:val="00515009"/>
    <w:rsid w:val="005154EE"/>
    <w:rsid w:val="00515E69"/>
    <w:rsid w:val="005227DF"/>
    <w:rsid w:val="00523EB3"/>
    <w:rsid w:val="005257FF"/>
    <w:rsid w:val="00525937"/>
    <w:rsid w:val="0053370E"/>
    <w:rsid w:val="00534536"/>
    <w:rsid w:val="00535944"/>
    <w:rsid w:val="00536506"/>
    <w:rsid w:val="00555525"/>
    <w:rsid w:val="005639A6"/>
    <w:rsid w:val="0057456B"/>
    <w:rsid w:val="00575D01"/>
    <w:rsid w:val="00582C31"/>
    <w:rsid w:val="005907E5"/>
    <w:rsid w:val="00590D6F"/>
    <w:rsid w:val="00594F4A"/>
    <w:rsid w:val="00595F62"/>
    <w:rsid w:val="00596048"/>
    <w:rsid w:val="00596FEB"/>
    <w:rsid w:val="00597D88"/>
    <w:rsid w:val="00597F63"/>
    <w:rsid w:val="005A462B"/>
    <w:rsid w:val="005A7108"/>
    <w:rsid w:val="005B0AFE"/>
    <w:rsid w:val="005B1985"/>
    <w:rsid w:val="005B2B99"/>
    <w:rsid w:val="005B33AF"/>
    <w:rsid w:val="005C25EA"/>
    <w:rsid w:val="005D0D24"/>
    <w:rsid w:val="005D4DD9"/>
    <w:rsid w:val="005D5465"/>
    <w:rsid w:val="005D6F40"/>
    <w:rsid w:val="005E3491"/>
    <w:rsid w:val="005E4EED"/>
    <w:rsid w:val="005E62F8"/>
    <w:rsid w:val="005F474C"/>
    <w:rsid w:val="005F753B"/>
    <w:rsid w:val="0060249C"/>
    <w:rsid w:val="00614738"/>
    <w:rsid w:val="0061546A"/>
    <w:rsid w:val="00626383"/>
    <w:rsid w:val="0063323A"/>
    <w:rsid w:val="006332AD"/>
    <w:rsid w:val="0064293A"/>
    <w:rsid w:val="00646208"/>
    <w:rsid w:val="00646B83"/>
    <w:rsid w:val="00646D5D"/>
    <w:rsid w:val="00663199"/>
    <w:rsid w:val="00663FCC"/>
    <w:rsid w:val="00672476"/>
    <w:rsid w:val="00680EA0"/>
    <w:rsid w:val="00684BDE"/>
    <w:rsid w:val="006864C2"/>
    <w:rsid w:val="0068693A"/>
    <w:rsid w:val="00686BC0"/>
    <w:rsid w:val="00690BD2"/>
    <w:rsid w:val="00692570"/>
    <w:rsid w:val="00697966"/>
    <w:rsid w:val="006A0E95"/>
    <w:rsid w:val="006A21F8"/>
    <w:rsid w:val="006A3591"/>
    <w:rsid w:val="006A61B5"/>
    <w:rsid w:val="006A6723"/>
    <w:rsid w:val="006A6AFE"/>
    <w:rsid w:val="006B2F99"/>
    <w:rsid w:val="006B350C"/>
    <w:rsid w:val="006B42CD"/>
    <w:rsid w:val="006B7D55"/>
    <w:rsid w:val="006C29A1"/>
    <w:rsid w:val="006C5EB2"/>
    <w:rsid w:val="006C6414"/>
    <w:rsid w:val="006F0430"/>
    <w:rsid w:val="006F1BD9"/>
    <w:rsid w:val="006F27B6"/>
    <w:rsid w:val="007015B1"/>
    <w:rsid w:val="00701E0B"/>
    <w:rsid w:val="00703A81"/>
    <w:rsid w:val="00705341"/>
    <w:rsid w:val="00705A20"/>
    <w:rsid w:val="007064F6"/>
    <w:rsid w:val="00706E67"/>
    <w:rsid w:val="00712E3A"/>
    <w:rsid w:val="00713802"/>
    <w:rsid w:val="00714398"/>
    <w:rsid w:val="00714B0C"/>
    <w:rsid w:val="00721C69"/>
    <w:rsid w:val="007248B9"/>
    <w:rsid w:val="00725506"/>
    <w:rsid w:val="00730D91"/>
    <w:rsid w:val="007337D2"/>
    <w:rsid w:val="00735638"/>
    <w:rsid w:val="00735CA8"/>
    <w:rsid w:val="00741426"/>
    <w:rsid w:val="00743917"/>
    <w:rsid w:val="00745816"/>
    <w:rsid w:val="00746E9B"/>
    <w:rsid w:val="00751465"/>
    <w:rsid w:val="0075535F"/>
    <w:rsid w:val="00757CAA"/>
    <w:rsid w:val="00760F90"/>
    <w:rsid w:val="00764E97"/>
    <w:rsid w:val="0076718C"/>
    <w:rsid w:val="00773C91"/>
    <w:rsid w:val="00775A9C"/>
    <w:rsid w:val="00777349"/>
    <w:rsid w:val="007803EE"/>
    <w:rsid w:val="0078691B"/>
    <w:rsid w:val="00786994"/>
    <w:rsid w:val="007871D6"/>
    <w:rsid w:val="00792694"/>
    <w:rsid w:val="00793E9E"/>
    <w:rsid w:val="00796B8C"/>
    <w:rsid w:val="007A02A5"/>
    <w:rsid w:val="007A0305"/>
    <w:rsid w:val="007A0D04"/>
    <w:rsid w:val="007A700F"/>
    <w:rsid w:val="007B1BFD"/>
    <w:rsid w:val="007B4ADC"/>
    <w:rsid w:val="007B5902"/>
    <w:rsid w:val="007B6E6B"/>
    <w:rsid w:val="007B6F45"/>
    <w:rsid w:val="007B702F"/>
    <w:rsid w:val="007C0E59"/>
    <w:rsid w:val="007C131B"/>
    <w:rsid w:val="007D0965"/>
    <w:rsid w:val="007F44E2"/>
    <w:rsid w:val="007F5DDB"/>
    <w:rsid w:val="007F6C72"/>
    <w:rsid w:val="007F702F"/>
    <w:rsid w:val="007F7559"/>
    <w:rsid w:val="0080783C"/>
    <w:rsid w:val="00811F0A"/>
    <w:rsid w:val="00816B9B"/>
    <w:rsid w:val="008208AD"/>
    <w:rsid w:val="00822D18"/>
    <w:rsid w:val="0082434A"/>
    <w:rsid w:val="00825028"/>
    <w:rsid w:val="00831358"/>
    <w:rsid w:val="00832836"/>
    <w:rsid w:val="00834276"/>
    <w:rsid w:val="00837F0A"/>
    <w:rsid w:val="0084571D"/>
    <w:rsid w:val="0084636B"/>
    <w:rsid w:val="00847103"/>
    <w:rsid w:val="008531FD"/>
    <w:rsid w:val="00854104"/>
    <w:rsid w:val="008543E0"/>
    <w:rsid w:val="00854789"/>
    <w:rsid w:val="00855D73"/>
    <w:rsid w:val="00855FBF"/>
    <w:rsid w:val="00860EA5"/>
    <w:rsid w:val="0086101A"/>
    <w:rsid w:val="008618AD"/>
    <w:rsid w:val="0086469F"/>
    <w:rsid w:val="008676F5"/>
    <w:rsid w:val="00867B2F"/>
    <w:rsid w:val="0087313D"/>
    <w:rsid w:val="00874AAF"/>
    <w:rsid w:val="008751DF"/>
    <w:rsid w:val="0087685B"/>
    <w:rsid w:val="0088646E"/>
    <w:rsid w:val="008903BB"/>
    <w:rsid w:val="00891F8E"/>
    <w:rsid w:val="008A25EA"/>
    <w:rsid w:val="008A329D"/>
    <w:rsid w:val="008A55C5"/>
    <w:rsid w:val="008B221A"/>
    <w:rsid w:val="008B3893"/>
    <w:rsid w:val="008D1648"/>
    <w:rsid w:val="008D3ED0"/>
    <w:rsid w:val="008D538D"/>
    <w:rsid w:val="008D68E3"/>
    <w:rsid w:val="008E44F9"/>
    <w:rsid w:val="008E46AD"/>
    <w:rsid w:val="008E7618"/>
    <w:rsid w:val="008F1D89"/>
    <w:rsid w:val="008F7313"/>
    <w:rsid w:val="00901D3E"/>
    <w:rsid w:val="00902743"/>
    <w:rsid w:val="009029DA"/>
    <w:rsid w:val="00904716"/>
    <w:rsid w:val="00904A04"/>
    <w:rsid w:val="00907387"/>
    <w:rsid w:val="00911BFC"/>
    <w:rsid w:val="00914184"/>
    <w:rsid w:val="00920DBC"/>
    <w:rsid w:val="00932BE1"/>
    <w:rsid w:val="009332C1"/>
    <w:rsid w:val="00933CE5"/>
    <w:rsid w:val="00934342"/>
    <w:rsid w:val="009363A3"/>
    <w:rsid w:val="00937DC7"/>
    <w:rsid w:val="009402ED"/>
    <w:rsid w:val="009405B8"/>
    <w:rsid w:val="00941A7D"/>
    <w:rsid w:val="00947B12"/>
    <w:rsid w:val="0095016C"/>
    <w:rsid w:val="0095087F"/>
    <w:rsid w:val="009517F8"/>
    <w:rsid w:val="00960BE6"/>
    <w:rsid w:val="00961E9F"/>
    <w:rsid w:val="00961F7A"/>
    <w:rsid w:val="00972FC2"/>
    <w:rsid w:val="00980C2F"/>
    <w:rsid w:val="009815F7"/>
    <w:rsid w:val="00987106"/>
    <w:rsid w:val="00987195"/>
    <w:rsid w:val="00992B90"/>
    <w:rsid w:val="0099306F"/>
    <w:rsid w:val="00994299"/>
    <w:rsid w:val="00995680"/>
    <w:rsid w:val="00995E2C"/>
    <w:rsid w:val="009A4654"/>
    <w:rsid w:val="009B36B4"/>
    <w:rsid w:val="009B3AA5"/>
    <w:rsid w:val="009C1D49"/>
    <w:rsid w:val="009D019A"/>
    <w:rsid w:val="009D0FF9"/>
    <w:rsid w:val="009D2E8E"/>
    <w:rsid w:val="009F0CF8"/>
    <w:rsid w:val="009F117A"/>
    <w:rsid w:val="009F15E1"/>
    <w:rsid w:val="009F16F4"/>
    <w:rsid w:val="009F39AA"/>
    <w:rsid w:val="00A02727"/>
    <w:rsid w:val="00A03031"/>
    <w:rsid w:val="00A06003"/>
    <w:rsid w:val="00A116AE"/>
    <w:rsid w:val="00A2068F"/>
    <w:rsid w:val="00A32322"/>
    <w:rsid w:val="00A34809"/>
    <w:rsid w:val="00A34BC6"/>
    <w:rsid w:val="00A35FEF"/>
    <w:rsid w:val="00A4684B"/>
    <w:rsid w:val="00A50D2F"/>
    <w:rsid w:val="00A50F9D"/>
    <w:rsid w:val="00A539A6"/>
    <w:rsid w:val="00A56C3B"/>
    <w:rsid w:val="00A6269F"/>
    <w:rsid w:val="00A63EEC"/>
    <w:rsid w:val="00A6540F"/>
    <w:rsid w:val="00A676EE"/>
    <w:rsid w:val="00A77897"/>
    <w:rsid w:val="00A8076B"/>
    <w:rsid w:val="00A81B5C"/>
    <w:rsid w:val="00A8787F"/>
    <w:rsid w:val="00A903F5"/>
    <w:rsid w:val="00A97A74"/>
    <w:rsid w:val="00A97BA7"/>
    <w:rsid w:val="00AB49C9"/>
    <w:rsid w:val="00AB640E"/>
    <w:rsid w:val="00AC199E"/>
    <w:rsid w:val="00AC2F00"/>
    <w:rsid w:val="00AC4D31"/>
    <w:rsid w:val="00AD36BD"/>
    <w:rsid w:val="00AD4A13"/>
    <w:rsid w:val="00AD5A9A"/>
    <w:rsid w:val="00AD638F"/>
    <w:rsid w:val="00AE3131"/>
    <w:rsid w:val="00AE4CB7"/>
    <w:rsid w:val="00AE5723"/>
    <w:rsid w:val="00AF0F70"/>
    <w:rsid w:val="00AF20AD"/>
    <w:rsid w:val="00AF6929"/>
    <w:rsid w:val="00B00433"/>
    <w:rsid w:val="00B00FA9"/>
    <w:rsid w:val="00B0434B"/>
    <w:rsid w:val="00B044A8"/>
    <w:rsid w:val="00B0641B"/>
    <w:rsid w:val="00B06EC0"/>
    <w:rsid w:val="00B06FFA"/>
    <w:rsid w:val="00B07B9A"/>
    <w:rsid w:val="00B10C98"/>
    <w:rsid w:val="00B12B15"/>
    <w:rsid w:val="00B2195B"/>
    <w:rsid w:val="00B221A4"/>
    <w:rsid w:val="00B300F2"/>
    <w:rsid w:val="00B33A6D"/>
    <w:rsid w:val="00B352E3"/>
    <w:rsid w:val="00B35D3F"/>
    <w:rsid w:val="00B41CB5"/>
    <w:rsid w:val="00B44FFD"/>
    <w:rsid w:val="00B4691E"/>
    <w:rsid w:val="00B47D5F"/>
    <w:rsid w:val="00B50632"/>
    <w:rsid w:val="00B52324"/>
    <w:rsid w:val="00B52F16"/>
    <w:rsid w:val="00B558CC"/>
    <w:rsid w:val="00B605C8"/>
    <w:rsid w:val="00B61BB8"/>
    <w:rsid w:val="00B65E80"/>
    <w:rsid w:val="00B672FC"/>
    <w:rsid w:val="00B7262C"/>
    <w:rsid w:val="00B72CED"/>
    <w:rsid w:val="00B73195"/>
    <w:rsid w:val="00B873E7"/>
    <w:rsid w:val="00B87F4B"/>
    <w:rsid w:val="00B93C98"/>
    <w:rsid w:val="00B94E3F"/>
    <w:rsid w:val="00B975EC"/>
    <w:rsid w:val="00BA0B47"/>
    <w:rsid w:val="00BA251F"/>
    <w:rsid w:val="00BA3665"/>
    <w:rsid w:val="00BA5BA2"/>
    <w:rsid w:val="00BA6BF2"/>
    <w:rsid w:val="00BB1B68"/>
    <w:rsid w:val="00BC1557"/>
    <w:rsid w:val="00BC220F"/>
    <w:rsid w:val="00BC275C"/>
    <w:rsid w:val="00BC3A26"/>
    <w:rsid w:val="00BC4107"/>
    <w:rsid w:val="00BC5759"/>
    <w:rsid w:val="00BC772A"/>
    <w:rsid w:val="00BD5F99"/>
    <w:rsid w:val="00BF0186"/>
    <w:rsid w:val="00BF1A83"/>
    <w:rsid w:val="00BF5257"/>
    <w:rsid w:val="00C102CB"/>
    <w:rsid w:val="00C10426"/>
    <w:rsid w:val="00C122AE"/>
    <w:rsid w:val="00C12F73"/>
    <w:rsid w:val="00C1499B"/>
    <w:rsid w:val="00C17FCD"/>
    <w:rsid w:val="00C23870"/>
    <w:rsid w:val="00C24FC4"/>
    <w:rsid w:val="00C26D26"/>
    <w:rsid w:val="00C44E1D"/>
    <w:rsid w:val="00C47F60"/>
    <w:rsid w:val="00C523D2"/>
    <w:rsid w:val="00C528A4"/>
    <w:rsid w:val="00C60311"/>
    <w:rsid w:val="00C6469C"/>
    <w:rsid w:val="00C7000C"/>
    <w:rsid w:val="00C91545"/>
    <w:rsid w:val="00C917E0"/>
    <w:rsid w:val="00C92135"/>
    <w:rsid w:val="00C94237"/>
    <w:rsid w:val="00C95E3E"/>
    <w:rsid w:val="00C96BF6"/>
    <w:rsid w:val="00CA4DAD"/>
    <w:rsid w:val="00CA5DB6"/>
    <w:rsid w:val="00CC1972"/>
    <w:rsid w:val="00CC3F51"/>
    <w:rsid w:val="00CD1228"/>
    <w:rsid w:val="00CD3F77"/>
    <w:rsid w:val="00CD6529"/>
    <w:rsid w:val="00CD7ACD"/>
    <w:rsid w:val="00CE640B"/>
    <w:rsid w:val="00CF0055"/>
    <w:rsid w:val="00CF39EB"/>
    <w:rsid w:val="00CF6000"/>
    <w:rsid w:val="00D0287A"/>
    <w:rsid w:val="00D063B6"/>
    <w:rsid w:val="00D16C55"/>
    <w:rsid w:val="00D23ADF"/>
    <w:rsid w:val="00D26596"/>
    <w:rsid w:val="00D26A9F"/>
    <w:rsid w:val="00D3248F"/>
    <w:rsid w:val="00D401B0"/>
    <w:rsid w:val="00D45A59"/>
    <w:rsid w:val="00D467D0"/>
    <w:rsid w:val="00D51A63"/>
    <w:rsid w:val="00D51CF9"/>
    <w:rsid w:val="00D53AA1"/>
    <w:rsid w:val="00D55FC6"/>
    <w:rsid w:val="00D63FD7"/>
    <w:rsid w:val="00D82924"/>
    <w:rsid w:val="00D842C3"/>
    <w:rsid w:val="00D93526"/>
    <w:rsid w:val="00D9433E"/>
    <w:rsid w:val="00D95A89"/>
    <w:rsid w:val="00D96954"/>
    <w:rsid w:val="00DA1B13"/>
    <w:rsid w:val="00DA53F3"/>
    <w:rsid w:val="00DA742C"/>
    <w:rsid w:val="00DB4F6B"/>
    <w:rsid w:val="00DB5A84"/>
    <w:rsid w:val="00DC70E4"/>
    <w:rsid w:val="00DD0C3B"/>
    <w:rsid w:val="00DD100D"/>
    <w:rsid w:val="00DD6136"/>
    <w:rsid w:val="00DD64A9"/>
    <w:rsid w:val="00DD66C5"/>
    <w:rsid w:val="00DE0813"/>
    <w:rsid w:val="00DF042C"/>
    <w:rsid w:val="00DF0890"/>
    <w:rsid w:val="00DF6DF7"/>
    <w:rsid w:val="00DF7EC1"/>
    <w:rsid w:val="00E031B9"/>
    <w:rsid w:val="00E05DDF"/>
    <w:rsid w:val="00E07263"/>
    <w:rsid w:val="00E1099E"/>
    <w:rsid w:val="00E15314"/>
    <w:rsid w:val="00E17CC8"/>
    <w:rsid w:val="00E234CD"/>
    <w:rsid w:val="00E24728"/>
    <w:rsid w:val="00E26225"/>
    <w:rsid w:val="00E2652C"/>
    <w:rsid w:val="00E308DB"/>
    <w:rsid w:val="00E3272A"/>
    <w:rsid w:val="00E33411"/>
    <w:rsid w:val="00E35714"/>
    <w:rsid w:val="00E365FF"/>
    <w:rsid w:val="00E37B05"/>
    <w:rsid w:val="00E419F0"/>
    <w:rsid w:val="00E43C4F"/>
    <w:rsid w:val="00E4520E"/>
    <w:rsid w:val="00E47501"/>
    <w:rsid w:val="00E5492C"/>
    <w:rsid w:val="00E56E81"/>
    <w:rsid w:val="00E57289"/>
    <w:rsid w:val="00E6085A"/>
    <w:rsid w:val="00E60DBF"/>
    <w:rsid w:val="00E61F2E"/>
    <w:rsid w:val="00E6303C"/>
    <w:rsid w:val="00E6641B"/>
    <w:rsid w:val="00E668F3"/>
    <w:rsid w:val="00E71028"/>
    <w:rsid w:val="00E736FC"/>
    <w:rsid w:val="00E75439"/>
    <w:rsid w:val="00E809FC"/>
    <w:rsid w:val="00E81437"/>
    <w:rsid w:val="00E82938"/>
    <w:rsid w:val="00E873A2"/>
    <w:rsid w:val="00E9213A"/>
    <w:rsid w:val="00E97BEA"/>
    <w:rsid w:val="00EA15E4"/>
    <w:rsid w:val="00EA1A69"/>
    <w:rsid w:val="00EA20BE"/>
    <w:rsid w:val="00EA2D25"/>
    <w:rsid w:val="00EB04A3"/>
    <w:rsid w:val="00EC2C91"/>
    <w:rsid w:val="00EC5A9F"/>
    <w:rsid w:val="00EC5EDF"/>
    <w:rsid w:val="00EC7F2C"/>
    <w:rsid w:val="00ED11C9"/>
    <w:rsid w:val="00ED2F7C"/>
    <w:rsid w:val="00ED406D"/>
    <w:rsid w:val="00ED4F24"/>
    <w:rsid w:val="00ED54C5"/>
    <w:rsid w:val="00ED7070"/>
    <w:rsid w:val="00EE03B2"/>
    <w:rsid w:val="00EE1BBA"/>
    <w:rsid w:val="00EE387F"/>
    <w:rsid w:val="00EE5C9B"/>
    <w:rsid w:val="00EE607F"/>
    <w:rsid w:val="00F03AF5"/>
    <w:rsid w:val="00F122DA"/>
    <w:rsid w:val="00F1375A"/>
    <w:rsid w:val="00F2259D"/>
    <w:rsid w:val="00F2307D"/>
    <w:rsid w:val="00F31576"/>
    <w:rsid w:val="00F3230D"/>
    <w:rsid w:val="00F32818"/>
    <w:rsid w:val="00F32D9E"/>
    <w:rsid w:val="00F36F25"/>
    <w:rsid w:val="00F37531"/>
    <w:rsid w:val="00F376A1"/>
    <w:rsid w:val="00F41AB4"/>
    <w:rsid w:val="00F50B32"/>
    <w:rsid w:val="00F531B2"/>
    <w:rsid w:val="00F54066"/>
    <w:rsid w:val="00F60314"/>
    <w:rsid w:val="00F61A30"/>
    <w:rsid w:val="00F65335"/>
    <w:rsid w:val="00F659FF"/>
    <w:rsid w:val="00F7277E"/>
    <w:rsid w:val="00F81A8F"/>
    <w:rsid w:val="00F838EA"/>
    <w:rsid w:val="00F84903"/>
    <w:rsid w:val="00F93FCE"/>
    <w:rsid w:val="00F966B0"/>
    <w:rsid w:val="00F96BF4"/>
    <w:rsid w:val="00FA024F"/>
    <w:rsid w:val="00FA194C"/>
    <w:rsid w:val="00FA1D92"/>
    <w:rsid w:val="00FA36B3"/>
    <w:rsid w:val="00FB00A6"/>
    <w:rsid w:val="00FB1F04"/>
    <w:rsid w:val="00FB25F9"/>
    <w:rsid w:val="00FB2983"/>
    <w:rsid w:val="00FB3B54"/>
    <w:rsid w:val="00FB6F26"/>
    <w:rsid w:val="00FC1F70"/>
    <w:rsid w:val="00FC7CB6"/>
    <w:rsid w:val="00FD0DDE"/>
    <w:rsid w:val="00FD55D6"/>
    <w:rsid w:val="00FD60C9"/>
    <w:rsid w:val="00FD64B3"/>
    <w:rsid w:val="00FD79A6"/>
    <w:rsid w:val="00FE1742"/>
    <w:rsid w:val="00FE28D2"/>
    <w:rsid w:val="00FE3E3C"/>
    <w:rsid w:val="00FF2908"/>
    <w:rsid w:val="00FF4AB6"/>
    <w:rsid w:val="00FF6BA7"/>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8C103"/>
  <w15:chartTrackingRefBased/>
  <w15:docId w15:val="{A82A4A92-D255-4063-88D1-FF82AF797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17A"/>
    <w:pPr>
      <w:spacing w:after="120"/>
      <w:jc w:val="both"/>
    </w:pPr>
    <w:rPr>
      <w:rFonts w:eastAsia="Songti SC" w:cs="Arial Unicode MS"/>
      <w:kern w:val="2"/>
      <w:szCs w:val="24"/>
      <w:lang w:val="cs-CZ" w:bidi="hi-IN"/>
    </w:rPr>
  </w:style>
  <w:style w:type="paragraph" w:styleId="Heading1">
    <w:name w:val="heading 1"/>
    <w:basedOn w:val="Normal"/>
    <w:next w:val="Normal"/>
    <w:link w:val="Heading1Char"/>
    <w:uiPriority w:val="9"/>
    <w:qFormat/>
    <w:rsid w:val="00822D18"/>
    <w:pPr>
      <w:keepNext/>
      <w:keepLines/>
      <w:spacing w:before="240"/>
      <w:outlineLvl w:val="0"/>
    </w:pPr>
    <w:rPr>
      <w:rFonts w:ascii="Calibri Light" w:eastAsia="Times New Roman" w:hAnsi="Calibri Light" w:cs="Times New Roman"/>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22D18"/>
    <w:rPr>
      <w:rFonts w:ascii="Calibri Light" w:eastAsia="Times New Roman" w:hAnsi="Calibri Light" w:cs="Times New Roman"/>
      <w:color w:val="2F5496"/>
      <w:kern w:val="2"/>
      <w:sz w:val="32"/>
      <w:szCs w:val="32"/>
      <w:lang w:eastAsia="zh-CN" w:bidi="hi-IN"/>
    </w:rPr>
  </w:style>
  <w:style w:type="character" w:customStyle="1" w:styleId="InternetLink">
    <w:name w:val="Internet Link"/>
    <w:rsid w:val="00822D18"/>
    <w:rPr>
      <w:color w:val="0563C1"/>
      <w:u w:val="single"/>
    </w:rPr>
  </w:style>
  <w:style w:type="paragraph" w:customStyle="1" w:styleId="media">
    <w:name w:val="media"/>
    <w:basedOn w:val="Normal"/>
    <w:next w:val="Normal"/>
    <w:qFormat/>
    <w:rsid w:val="00822D18"/>
    <w:pPr>
      <w:spacing w:before="200" w:after="80" w:line="200" w:lineRule="exact"/>
      <w:ind w:left="360"/>
    </w:pPr>
    <w:rPr>
      <w:rFonts w:ascii="Arial" w:eastAsia="Times New Roman" w:hAnsi="Arial" w:cs="Arial"/>
      <w:color w:val="616363"/>
      <w:spacing w:val="3"/>
      <w:sz w:val="13"/>
      <w:shd w:val="clear" w:color="auto" w:fill="FFFFFF"/>
    </w:rPr>
  </w:style>
  <w:style w:type="paragraph" w:styleId="NormalWeb">
    <w:name w:val="Normal (Web)"/>
    <w:basedOn w:val="Normal"/>
    <w:uiPriority w:val="99"/>
    <w:qFormat/>
    <w:rsid w:val="00822D18"/>
    <w:pPr>
      <w:spacing w:beforeAutospacing="1" w:afterAutospacing="1"/>
    </w:pPr>
    <w:rPr>
      <w:rFonts w:ascii="Times New Roman" w:eastAsia="Times New Roman" w:hAnsi="Times New Roman" w:cs="Times New Roman"/>
    </w:rPr>
  </w:style>
  <w:style w:type="paragraph" w:styleId="NoSpacing">
    <w:name w:val="No Spacing"/>
    <w:uiPriority w:val="1"/>
    <w:qFormat/>
    <w:rsid w:val="004C7947"/>
    <w:rPr>
      <w:sz w:val="22"/>
      <w:szCs w:val="22"/>
      <w:lang w:val="cs-CZ" w:eastAsia="en-US"/>
    </w:rPr>
  </w:style>
  <w:style w:type="character" w:styleId="Hyperlink">
    <w:name w:val="Hyperlink"/>
    <w:uiPriority w:val="99"/>
    <w:unhideWhenUsed/>
    <w:rsid w:val="004C7947"/>
    <w:rPr>
      <w:color w:val="0000FF"/>
      <w:u w:val="single"/>
    </w:rPr>
  </w:style>
  <w:style w:type="character" w:styleId="CommentReference">
    <w:name w:val="annotation reference"/>
    <w:uiPriority w:val="99"/>
    <w:semiHidden/>
    <w:unhideWhenUsed/>
    <w:rsid w:val="000E3B0D"/>
    <w:rPr>
      <w:sz w:val="16"/>
      <w:szCs w:val="16"/>
    </w:rPr>
  </w:style>
  <w:style w:type="paragraph" w:styleId="CommentText">
    <w:name w:val="annotation text"/>
    <w:basedOn w:val="Normal"/>
    <w:link w:val="CommentTextChar"/>
    <w:uiPriority w:val="99"/>
    <w:unhideWhenUsed/>
    <w:rsid w:val="000E3B0D"/>
    <w:rPr>
      <w:rFonts w:cs="Mangal"/>
      <w:szCs w:val="18"/>
    </w:rPr>
  </w:style>
  <w:style w:type="character" w:customStyle="1" w:styleId="CommentTextChar">
    <w:name w:val="Comment Text Char"/>
    <w:link w:val="CommentText"/>
    <w:uiPriority w:val="99"/>
    <w:rsid w:val="000E3B0D"/>
    <w:rPr>
      <w:rFonts w:ascii="Liberation Serif" w:eastAsia="Songti SC" w:hAnsi="Liberation Serif" w:cs="Mangal"/>
      <w:kern w:val="2"/>
      <w:sz w:val="20"/>
      <w:szCs w:val="18"/>
      <w:lang w:eastAsia="zh-CN" w:bidi="hi-IN"/>
    </w:rPr>
  </w:style>
  <w:style w:type="paragraph" w:styleId="CommentSubject">
    <w:name w:val="annotation subject"/>
    <w:basedOn w:val="CommentText"/>
    <w:next w:val="CommentText"/>
    <w:link w:val="CommentSubjectChar"/>
    <w:uiPriority w:val="99"/>
    <w:semiHidden/>
    <w:unhideWhenUsed/>
    <w:rsid w:val="000E3B0D"/>
    <w:rPr>
      <w:b/>
      <w:bCs/>
    </w:rPr>
  </w:style>
  <w:style w:type="character" w:customStyle="1" w:styleId="CommentSubjectChar">
    <w:name w:val="Comment Subject Char"/>
    <w:link w:val="CommentSubject"/>
    <w:uiPriority w:val="99"/>
    <w:semiHidden/>
    <w:rsid w:val="000E3B0D"/>
    <w:rPr>
      <w:rFonts w:ascii="Liberation Serif" w:eastAsia="Songti SC" w:hAnsi="Liberation Serif" w:cs="Mangal"/>
      <w:b/>
      <w:bCs/>
      <w:kern w:val="2"/>
      <w:sz w:val="20"/>
      <w:szCs w:val="18"/>
      <w:lang w:eastAsia="zh-CN" w:bidi="hi-IN"/>
    </w:rPr>
  </w:style>
  <w:style w:type="paragraph" w:styleId="BalloonText">
    <w:name w:val="Balloon Text"/>
    <w:basedOn w:val="Normal"/>
    <w:link w:val="BalloonTextChar"/>
    <w:uiPriority w:val="99"/>
    <w:semiHidden/>
    <w:unhideWhenUsed/>
    <w:rsid w:val="000E3B0D"/>
    <w:rPr>
      <w:rFonts w:ascii="Segoe UI" w:hAnsi="Segoe UI" w:cs="Mangal"/>
      <w:sz w:val="18"/>
      <w:szCs w:val="16"/>
    </w:rPr>
  </w:style>
  <w:style w:type="character" w:customStyle="1" w:styleId="BalloonTextChar">
    <w:name w:val="Balloon Text Char"/>
    <w:link w:val="BalloonText"/>
    <w:uiPriority w:val="99"/>
    <w:semiHidden/>
    <w:rsid w:val="000E3B0D"/>
    <w:rPr>
      <w:rFonts w:ascii="Segoe UI" w:eastAsia="Songti SC" w:hAnsi="Segoe UI" w:cs="Mangal"/>
      <w:kern w:val="2"/>
      <w:sz w:val="18"/>
      <w:szCs w:val="16"/>
      <w:lang w:eastAsia="zh-CN" w:bidi="hi-IN"/>
    </w:rPr>
  </w:style>
  <w:style w:type="character" w:styleId="Strong">
    <w:name w:val="Strong"/>
    <w:uiPriority w:val="22"/>
    <w:qFormat/>
    <w:rsid w:val="00ED4F24"/>
    <w:rPr>
      <w:b/>
      <w:bCs/>
    </w:rPr>
  </w:style>
  <w:style w:type="character" w:styleId="FollowedHyperlink">
    <w:name w:val="FollowedHyperlink"/>
    <w:uiPriority w:val="99"/>
    <w:semiHidden/>
    <w:unhideWhenUsed/>
    <w:rsid w:val="00E60DBF"/>
    <w:rPr>
      <w:color w:val="954F72"/>
      <w:u w:val="single"/>
    </w:rPr>
  </w:style>
  <w:style w:type="paragraph" w:customStyle="1" w:styleId="Default">
    <w:name w:val="Default"/>
    <w:rsid w:val="00692570"/>
    <w:pPr>
      <w:autoSpaceDE w:val="0"/>
      <w:autoSpaceDN w:val="0"/>
      <w:adjustRightInd w:val="0"/>
    </w:pPr>
    <w:rPr>
      <w:rFonts w:cs="Calibri"/>
      <w:color w:val="000000"/>
      <w:sz w:val="24"/>
      <w:szCs w:val="24"/>
      <w:lang w:val="cs-CZ" w:eastAsia="en-US"/>
    </w:rPr>
  </w:style>
  <w:style w:type="character" w:styleId="FootnoteReference">
    <w:name w:val="footnote reference"/>
    <w:uiPriority w:val="99"/>
    <w:semiHidden/>
    <w:unhideWhenUsed/>
    <w:rsid w:val="00CF0055"/>
    <w:rPr>
      <w:vertAlign w:val="superscript"/>
    </w:rPr>
  </w:style>
  <w:style w:type="paragraph" w:customStyle="1" w:styleId="Body">
    <w:name w:val="Body"/>
    <w:rsid w:val="00CF0055"/>
    <w:pPr>
      <w:spacing w:after="160" w:line="256" w:lineRule="auto"/>
    </w:pPr>
    <w:rPr>
      <w:rFonts w:eastAsia="Calibri" w:cs="Calibri"/>
      <w:color w:val="000000"/>
      <w:sz w:val="22"/>
      <w:szCs w:val="22"/>
      <w:u w:color="000000"/>
      <w:lang w:val="cs-CZ" w:eastAsia="en-US"/>
    </w:rPr>
  </w:style>
  <w:style w:type="paragraph" w:customStyle="1" w:styleId="s6">
    <w:name w:val="s6"/>
    <w:basedOn w:val="Normal"/>
    <w:uiPriority w:val="99"/>
    <w:rsid w:val="00AD5A9A"/>
    <w:pPr>
      <w:spacing w:before="100" w:beforeAutospacing="1" w:after="100" w:afterAutospacing="1"/>
    </w:pPr>
    <w:rPr>
      <w:rFonts w:eastAsia="Calibri" w:cs="Times New Roman"/>
      <w:kern w:val="0"/>
      <w:sz w:val="22"/>
      <w:szCs w:val="22"/>
      <w:lang w:val="en-GB" w:eastAsia="en-US" w:bidi="ar-SA"/>
    </w:rPr>
  </w:style>
  <w:style w:type="character" w:customStyle="1" w:styleId="UnresolvedMention1">
    <w:name w:val="Unresolved Mention1"/>
    <w:uiPriority w:val="99"/>
    <w:semiHidden/>
    <w:unhideWhenUsed/>
    <w:rsid w:val="00AD5A9A"/>
    <w:rPr>
      <w:color w:val="605E5C"/>
      <w:shd w:val="clear" w:color="auto" w:fill="E1DFDD"/>
    </w:rPr>
  </w:style>
  <w:style w:type="paragraph" w:styleId="FootnoteText">
    <w:name w:val="footnote text"/>
    <w:basedOn w:val="Normal"/>
    <w:link w:val="FootnoteTextChar"/>
    <w:uiPriority w:val="99"/>
    <w:semiHidden/>
    <w:unhideWhenUsed/>
    <w:rsid w:val="004C5AB1"/>
    <w:rPr>
      <w:rFonts w:eastAsia="Calibri" w:cs="Times New Roman"/>
      <w:kern w:val="0"/>
      <w:szCs w:val="20"/>
      <w:lang w:eastAsia="en-US" w:bidi="ar-SA"/>
    </w:rPr>
  </w:style>
  <w:style w:type="character" w:customStyle="1" w:styleId="FootnoteTextChar">
    <w:name w:val="Footnote Text Char"/>
    <w:link w:val="FootnoteText"/>
    <w:uiPriority w:val="99"/>
    <w:semiHidden/>
    <w:rsid w:val="004C5AB1"/>
    <w:rPr>
      <w:sz w:val="20"/>
      <w:szCs w:val="20"/>
    </w:rPr>
  </w:style>
  <w:style w:type="paragraph" w:styleId="Revision">
    <w:name w:val="Revision"/>
    <w:hidden/>
    <w:uiPriority w:val="99"/>
    <w:semiHidden/>
    <w:rsid w:val="005F753B"/>
    <w:rPr>
      <w:rFonts w:ascii="Liberation Serif" w:eastAsia="Songti SC" w:hAnsi="Liberation Serif" w:cs="Mangal"/>
      <w:kern w:val="2"/>
      <w:sz w:val="24"/>
      <w:szCs w:val="21"/>
      <w:lang w:val="cs-CZ" w:bidi="hi-IN"/>
    </w:rPr>
  </w:style>
  <w:style w:type="paragraph" w:styleId="ListParagraph">
    <w:name w:val="List Paragraph"/>
    <w:basedOn w:val="Normal"/>
    <w:uiPriority w:val="34"/>
    <w:qFormat/>
    <w:rsid w:val="00D82924"/>
    <w:pPr>
      <w:ind w:left="720"/>
      <w:contextualSpacing/>
    </w:pPr>
    <w:rPr>
      <w:rFonts w:cs="Mangal"/>
      <w:szCs w:val="21"/>
    </w:rPr>
  </w:style>
  <w:style w:type="paragraph" w:styleId="Header">
    <w:name w:val="header"/>
    <w:basedOn w:val="Normal"/>
    <w:link w:val="HeaderChar"/>
    <w:uiPriority w:val="99"/>
    <w:unhideWhenUsed/>
    <w:rsid w:val="00C96BF6"/>
    <w:pPr>
      <w:tabs>
        <w:tab w:val="center" w:pos="4680"/>
        <w:tab w:val="right" w:pos="9360"/>
      </w:tabs>
    </w:pPr>
    <w:rPr>
      <w:rFonts w:cs="Mangal"/>
      <w:szCs w:val="21"/>
    </w:rPr>
  </w:style>
  <w:style w:type="character" w:customStyle="1" w:styleId="HeaderChar">
    <w:name w:val="Header Char"/>
    <w:link w:val="Header"/>
    <w:uiPriority w:val="99"/>
    <w:rsid w:val="00C96BF6"/>
    <w:rPr>
      <w:rFonts w:ascii="Liberation Serif" w:eastAsia="Songti SC" w:hAnsi="Liberation Serif" w:cs="Mangal"/>
      <w:kern w:val="2"/>
      <w:szCs w:val="21"/>
      <w:lang w:eastAsia="zh-CN" w:bidi="hi-IN"/>
    </w:rPr>
  </w:style>
  <w:style w:type="paragraph" w:styleId="Footer">
    <w:name w:val="footer"/>
    <w:basedOn w:val="Normal"/>
    <w:link w:val="FooterChar"/>
    <w:unhideWhenUsed/>
    <w:rsid w:val="00C96BF6"/>
    <w:pPr>
      <w:tabs>
        <w:tab w:val="center" w:pos="4680"/>
        <w:tab w:val="right" w:pos="9360"/>
      </w:tabs>
    </w:pPr>
    <w:rPr>
      <w:rFonts w:cs="Mangal"/>
      <w:szCs w:val="21"/>
    </w:rPr>
  </w:style>
  <w:style w:type="character" w:customStyle="1" w:styleId="FooterChar">
    <w:name w:val="Footer Char"/>
    <w:link w:val="Footer"/>
    <w:uiPriority w:val="99"/>
    <w:rsid w:val="00C96BF6"/>
    <w:rPr>
      <w:rFonts w:ascii="Liberation Serif" w:eastAsia="Songti SC" w:hAnsi="Liberation Serif" w:cs="Mangal"/>
      <w:kern w:val="2"/>
      <w:szCs w:val="21"/>
      <w:lang w:eastAsia="zh-CN" w:bidi="hi-IN"/>
    </w:rPr>
  </w:style>
  <w:style w:type="paragraph" w:styleId="EndnoteText">
    <w:name w:val="endnote text"/>
    <w:basedOn w:val="Normal"/>
    <w:link w:val="EndnoteTextChar"/>
    <w:uiPriority w:val="99"/>
    <w:semiHidden/>
    <w:unhideWhenUsed/>
    <w:rsid w:val="007D0965"/>
    <w:rPr>
      <w:rFonts w:cs="Mangal"/>
      <w:szCs w:val="18"/>
    </w:rPr>
  </w:style>
  <w:style w:type="character" w:customStyle="1" w:styleId="EndnoteTextChar">
    <w:name w:val="Endnote Text Char"/>
    <w:link w:val="EndnoteText"/>
    <w:uiPriority w:val="99"/>
    <w:semiHidden/>
    <w:rsid w:val="007D0965"/>
    <w:rPr>
      <w:rFonts w:ascii="Liberation Serif" w:eastAsia="Songti SC" w:hAnsi="Liberation Serif" w:cs="Mangal"/>
      <w:kern w:val="2"/>
      <w:sz w:val="20"/>
      <w:szCs w:val="18"/>
      <w:lang w:eastAsia="zh-CN" w:bidi="hi-IN"/>
    </w:rPr>
  </w:style>
  <w:style w:type="character" w:styleId="EndnoteReference">
    <w:name w:val="endnote reference"/>
    <w:uiPriority w:val="99"/>
    <w:semiHidden/>
    <w:unhideWhenUsed/>
    <w:rsid w:val="007D0965"/>
    <w:rPr>
      <w:vertAlign w:val="superscript"/>
    </w:rPr>
  </w:style>
  <w:style w:type="character" w:styleId="UnresolvedMention">
    <w:name w:val="Unresolved Mention"/>
    <w:uiPriority w:val="99"/>
    <w:semiHidden/>
    <w:unhideWhenUsed/>
    <w:rsid w:val="004A0FB1"/>
    <w:rPr>
      <w:color w:val="605E5C"/>
      <w:shd w:val="clear" w:color="auto" w:fill="E1DFDD"/>
    </w:rPr>
  </w:style>
  <w:style w:type="paragraph" w:customStyle="1" w:styleId="paragraph">
    <w:name w:val="paragraph"/>
    <w:basedOn w:val="Normal"/>
    <w:rsid w:val="004A0FB1"/>
    <w:pPr>
      <w:spacing w:before="100" w:beforeAutospacing="1" w:after="100" w:afterAutospacing="1"/>
    </w:pPr>
    <w:rPr>
      <w:rFonts w:ascii="Times New Roman" w:eastAsia="Times New Roman" w:hAnsi="Times New Roman" w:cs="Times New Roman"/>
      <w:kern w:val="0"/>
      <w:lang w:eastAsia="cs-CZ" w:bidi="ar-SA"/>
    </w:rPr>
  </w:style>
  <w:style w:type="character" w:customStyle="1" w:styleId="normaltextrun">
    <w:name w:val="normaltextrun"/>
    <w:basedOn w:val="DefaultParagraphFont"/>
    <w:rsid w:val="004A0FB1"/>
  </w:style>
  <w:style w:type="character" w:customStyle="1" w:styleId="eop">
    <w:name w:val="eop"/>
    <w:basedOn w:val="DefaultParagraphFont"/>
    <w:rsid w:val="004A0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22771">
      <w:bodyDiv w:val="1"/>
      <w:marLeft w:val="0"/>
      <w:marRight w:val="0"/>
      <w:marTop w:val="0"/>
      <w:marBottom w:val="0"/>
      <w:divBdr>
        <w:top w:val="none" w:sz="0" w:space="0" w:color="auto"/>
        <w:left w:val="none" w:sz="0" w:space="0" w:color="auto"/>
        <w:bottom w:val="none" w:sz="0" w:space="0" w:color="auto"/>
        <w:right w:val="none" w:sz="0" w:space="0" w:color="auto"/>
      </w:divBdr>
    </w:div>
    <w:div w:id="1363939213">
      <w:bodyDiv w:val="1"/>
      <w:marLeft w:val="0"/>
      <w:marRight w:val="0"/>
      <w:marTop w:val="0"/>
      <w:marBottom w:val="0"/>
      <w:divBdr>
        <w:top w:val="none" w:sz="0" w:space="0" w:color="auto"/>
        <w:left w:val="none" w:sz="0" w:space="0" w:color="auto"/>
        <w:bottom w:val="none" w:sz="0" w:space="0" w:color="auto"/>
        <w:right w:val="none" w:sz="0" w:space="0" w:color="auto"/>
      </w:divBdr>
    </w:div>
    <w:div w:id="1673411607">
      <w:bodyDiv w:val="1"/>
      <w:marLeft w:val="0"/>
      <w:marRight w:val="0"/>
      <w:marTop w:val="0"/>
      <w:marBottom w:val="0"/>
      <w:divBdr>
        <w:top w:val="none" w:sz="0" w:space="0" w:color="auto"/>
        <w:left w:val="none" w:sz="0" w:space="0" w:color="auto"/>
        <w:bottom w:val="none" w:sz="0" w:space="0" w:color="auto"/>
        <w:right w:val="none" w:sz="0" w:space="0" w:color="auto"/>
      </w:divBdr>
    </w:div>
    <w:div w:id="1738016753">
      <w:bodyDiv w:val="1"/>
      <w:marLeft w:val="0"/>
      <w:marRight w:val="0"/>
      <w:marTop w:val="0"/>
      <w:marBottom w:val="0"/>
      <w:divBdr>
        <w:top w:val="none" w:sz="0" w:space="0" w:color="auto"/>
        <w:left w:val="none" w:sz="0" w:space="0" w:color="auto"/>
        <w:bottom w:val="none" w:sz="0" w:space="0" w:color="auto"/>
        <w:right w:val="none" w:sz="0" w:space="0" w:color="auto"/>
      </w:divBdr>
    </w:div>
    <w:div w:id="1808468921">
      <w:bodyDiv w:val="1"/>
      <w:marLeft w:val="0"/>
      <w:marRight w:val="0"/>
      <w:marTop w:val="0"/>
      <w:marBottom w:val="0"/>
      <w:divBdr>
        <w:top w:val="none" w:sz="0" w:space="0" w:color="auto"/>
        <w:left w:val="none" w:sz="0" w:space="0" w:color="auto"/>
        <w:bottom w:val="none" w:sz="0" w:space="0" w:color="auto"/>
        <w:right w:val="none" w:sz="0" w:space="0" w:color="auto"/>
      </w:divBdr>
    </w:div>
    <w:div w:id="193613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3.safelinks.protection.outlook.com/?url=https%3A%2F%2Fwww.philipmorris.cz%2F&amp;data=05%7C02%7CIva.Novotna%40pmi.com%7Cf6619e5a8bec42acc20708de75186caf%7C8b86a65e3c3a44068ac319a6b5cc52bc%7C0%7C0%7C639076944932443891%7CUnknown%7CTWFpbGZsb3d8eyJFbXB0eU1hcGkiOnRydWUsIlYiOiIwLjAuMDAwMCIsIlAiOiJXaW4zMiIsIkFOIjoiTWFpbCIsIldUIjoyfQ%3D%3D%7C0%7C%7C%7C&amp;sdata=X2g7Yemi9Qvk3q67OZNjeZgLziBQuHQV%2BykxPtBP2Eo%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ojtech.Severyn@pmi.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ujbonds.cz" TargetMode="External"/><Relationship Id="rId5" Type="http://schemas.openxmlformats.org/officeDocument/2006/relationships/numbering" Target="numbering.xml"/><Relationship Id="rId15" Type="http://schemas.openxmlformats.org/officeDocument/2006/relationships/hyperlink" Target="http://www.pmiscience.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mi.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B0616B8D4B6648BAB1A1EF8B45FFD1" ma:contentTypeVersion="12" ma:contentTypeDescription="Create a new document." ma:contentTypeScope="" ma:versionID="38b8ddb0aca57b267a9a0ff79af9a2d1">
  <xsd:schema xmlns:xsd="http://www.w3.org/2001/XMLSchema" xmlns:xs="http://www.w3.org/2001/XMLSchema" xmlns:p="http://schemas.microsoft.com/office/2006/metadata/properties" xmlns:ns2="9c12052a-5034-4b3b-8a25-52245f534aeb" xmlns:ns3="027e1251-cf0c-46bb-b54b-2cf4019c3629" targetNamespace="http://schemas.microsoft.com/office/2006/metadata/properties" ma:root="true" ma:fieldsID="d810728d1e2ef09dde4bfbe81125b08f" ns2:_="" ns3:_="">
    <xsd:import namespace="9c12052a-5034-4b3b-8a25-52245f534aeb"/>
    <xsd:import namespace="027e1251-cf0c-46bb-b54b-2cf4019c362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2052a-5034-4b3b-8a25-52245f534ae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e91d693-f37f-4aa7-876d-c3e71944c16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7e1251-cf0c-46bb-b54b-2cf4019c362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8099a97-7188-4fa7-8241-cf2f77d31928}" ma:internalName="TaxCatchAll" ma:showField="CatchAllData" ma:web="027e1251-cf0c-46bb-b54b-2cf4019c3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12052a-5034-4b3b-8a25-52245f534aeb">
      <Terms xmlns="http://schemas.microsoft.com/office/infopath/2007/PartnerControls"/>
    </lcf76f155ced4ddcb4097134ff3c332f>
    <TaxCatchAll xmlns="027e1251-cf0c-46bb-b54b-2cf4019c362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842C21-33C3-4EA9-B713-652C1E18FA91}">
  <ds:schemaRefs>
    <ds:schemaRef ds:uri="http://schemas.openxmlformats.org/officeDocument/2006/bibliography"/>
  </ds:schemaRefs>
</ds:datastoreItem>
</file>

<file path=customXml/itemProps2.xml><?xml version="1.0" encoding="utf-8"?>
<ds:datastoreItem xmlns:ds="http://schemas.openxmlformats.org/officeDocument/2006/customXml" ds:itemID="{ED4203A9-A667-4A05-8EED-894A1B9CC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2052a-5034-4b3b-8a25-52245f534aeb"/>
    <ds:schemaRef ds:uri="027e1251-cf0c-46bb-b54b-2cf4019c3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7D2D4F-C3B9-44DA-972B-F6B3E7276556}">
  <ds:schemaRefs>
    <ds:schemaRef ds:uri="http://schemas.microsoft.com/office/2006/metadata/properties"/>
    <ds:schemaRef ds:uri="http://schemas.microsoft.com/office/infopath/2007/PartnerControls"/>
    <ds:schemaRef ds:uri="9c12052a-5034-4b3b-8a25-52245f534aeb"/>
    <ds:schemaRef ds:uri="027e1251-cf0c-46bb-b54b-2cf4019c3629"/>
  </ds:schemaRefs>
</ds:datastoreItem>
</file>

<file path=customXml/itemProps4.xml><?xml version="1.0" encoding="utf-8"?>
<ds:datastoreItem xmlns:ds="http://schemas.openxmlformats.org/officeDocument/2006/customXml" ds:itemID="{D9FCD0C1-4A32-4CFD-91F7-C437E1B2ADF0}">
  <ds:schemaRefs>
    <ds:schemaRef ds:uri="http://schemas.microsoft.com/sharepoint/v3/contenttype/forms"/>
  </ds:schemaRefs>
</ds:datastoreItem>
</file>

<file path=docMetadata/LabelInfo.xml><?xml version="1.0" encoding="utf-8"?>
<clbl:labelList xmlns:clbl="http://schemas.microsoft.com/office/2020/mipLabelMetadata">
  <clbl:label id="{7bce0314-66d2-465d-a4b8-04cf0abcda4d}" enabled="1" method="Privileged" siteId="{8b86a65e-3c3a-4406-8ac3-19a6b5cc52bc}"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1138</Words>
  <Characters>6794</Characters>
  <Application>Microsoft Office Word</Application>
  <DocSecurity>4</DocSecurity>
  <Lines>86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YES překlady</Company>
  <LinksUpToDate>false</LinksUpToDate>
  <CharactersWithSpaces>7903</CharactersWithSpaces>
  <SharedDoc>false</SharedDoc>
  <HLinks>
    <vt:vector size="36" baseType="variant">
      <vt:variant>
        <vt:i4>3735586</vt:i4>
      </vt:variant>
      <vt:variant>
        <vt:i4>15</vt:i4>
      </vt:variant>
      <vt:variant>
        <vt:i4>0</vt:i4>
      </vt:variant>
      <vt:variant>
        <vt:i4>5</vt:i4>
      </vt:variant>
      <vt:variant>
        <vt:lpwstr>http://www.pmiscience.com/</vt:lpwstr>
      </vt:variant>
      <vt:variant>
        <vt:lpwstr/>
      </vt:variant>
      <vt:variant>
        <vt:i4>3932284</vt:i4>
      </vt:variant>
      <vt:variant>
        <vt:i4>12</vt:i4>
      </vt:variant>
      <vt:variant>
        <vt:i4>0</vt:i4>
      </vt:variant>
      <vt:variant>
        <vt:i4>5</vt:i4>
      </vt:variant>
      <vt:variant>
        <vt:lpwstr>http://www.pmi.com/</vt:lpwstr>
      </vt:variant>
      <vt:variant>
        <vt:lpwstr/>
      </vt:variant>
      <vt:variant>
        <vt:i4>7340121</vt:i4>
      </vt:variant>
      <vt:variant>
        <vt:i4>9</vt:i4>
      </vt:variant>
      <vt:variant>
        <vt:i4>0</vt:i4>
      </vt:variant>
      <vt:variant>
        <vt:i4>5</vt:i4>
      </vt:variant>
      <vt:variant>
        <vt:lpwstr>https://pmidotcom3-prd.s3.amazonaws.com/docs/default-source/czech-market/investors-relation/annual-meeting-2022/v%C3%BDro%C4%8Dn%C3%AD-zpr%C3%A1va-2021.pdf?sfvrsn=144688b7_4</vt:lpwstr>
      </vt:variant>
      <vt:variant>
        <vt:lpwstr/>
      </vt:variant>
      <vt:variant>
        <vt:i4>7929897</vt:i4>
      </vt:variant>
      <vt:variant>
        <vt:i4>6</vt:i4>
      </vt:variant>
      <vt:variant>
        <vt:i4>0</vt:i4>
      </vt:variant>
      <vt:variant>
        <vt:i4>5</vt:i4>
      </vt:variant>
      <vt:variant>
        <vt:lpwstr>http://www.philipmorris.cz/</vt:lpwstr>
      </vt:variant>
      <vt:variant>
        <vt:lpwstr/>
      </vt:variant>
      <vt:variant>
        <vt:i4>7536670</vt:i4>
      </vt:variant>
      <vt:variant>
        <vt:i4>3</vt:i4>
      </vt:variant>
      <vt:variant>
        <vt:i4>0</vt:i4>
      </vt:variant>
      <vt:variant>
        <vt:i4>5</vt:i4>
      </vt:variant>
      <vt:variant>
        <vt:lpwstr>mailto:Klara.JirovcovaPospisilova@pmi.com</vt:lpwstr>
      </vt:variant>
      <vt:variant>
        <vt:lpwstr/>
      </vt:variant>
      <vt:variant>
        <vt:i4>4391004</vt:i4>
      </vt:variant>
      <vt:variant>
        <vt:i4>0</vt:i4>
      </vt:variant>
      <vt:variant>
        <vt:i4>0</vt:i4>
      </vt:variant>
      <vt:variant>
        <vt:i4>5</vt:i4>
      </vt:variant>
      <vt:variant>
        <vt:lpwstr>http://www.iqos.com/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angčeš</dc:subject>
  <dc:creator>ZK, PD</dc:creator>
  <cp:keywords/>
  <cp:lastModifiedBy>Novotna, Iva</cp:lastModifiedBy>
  <cp:revision>2</cp:revision>
  <dcterms:created xsi:type="dcterms:W3CDTF">2026-05-27T06:42:00Z</dcterms:created>
  <dcterms:modified xsi:type="dcterms:W3CDTF">2026-05-27T06:42:00Z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0x010100F3B0616B8D4B6648BAB1A1EF8B45FFD1</vt:lpwstr>
  </property>
  <property fmtid="{D5CDD505-2E9C-101B-9397-08002B2CF9AE}" pid="3" name="Order">
    <vt:r8>370000</vt:r8>
  </property>
  <property fmtid="{D5CDD505-2E9C-101B-9397-08002B2CF9AE}" pid="4" name="MediaServiceImageTags">
    <vt:lpwstr/>
  </property>
  <property fmtid="{D5CDD505-2E9C-101B-9397-08002B2CF9AE}" pid="5" name="lcf76f155ced4ddcb4097134ff3c332f">
    <vt:lpwstr/>
  </property>
  <property fmtid="{D5CDD505-2E9C-101B-9397-08002B2CF9AE}" pid="6" name="TaxCatchAll">
    <vt:lpwstr/>
  </property>
</Properties>
</file>